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center"/>
        <w:rPr>
          <w:rFonts w:ascii="长城小标宋体" w:hAnsi="华文中宋" w:eastAsia="长城小标宋体" w:cs="Times New Roman"/>
          <w:w w:val="95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长城小标宋体" w:hAnsi="华文中宋" w:eastAsia="长城小标宋体" w:cs="Times New Roman"/>
          <w:w w:val="95"/>
          <w:kern w:val="2"/>
          <w:sz w:val="44"/>
          <w:szCs w:val="44"/>
        </w:rPr>
      </w:pPr>
      <w:r>
        <w:rPr>
          <w:rFonts w:ascii="长城小标宋体" w:hAnsi="华文中宋" w:eastAsia="长城小标宋体" w:cs="Times New Roman"/>
          <w:w w:val="95"/>
          <w:kern w:val="2"/>
          <w:sz w:val="44"/>
          <w:szCs w:val="44"/>
        </w:rPr>
        <w:t>20</w:t>
      </w:r>
      <w:r>
        <w:rPr>
          <w:rFonts w:hint="eastAsia" w:ascii="长城小标宋体" w:hAnsi="华文中宋" w:eastAsia="长城小标宋体" w:cs="Times New Roman"/>
          <w:w w:val="95"/>
          <w:kern w:val="2"/>
          <w:sz w:val="44"/>
          <w:szCs w:val="44"/>
        </w:rPr>
        <w:t>20</w:t>
      </w:r>
      <w:r>
        <w:rPr>
          <w:rFonts w:ascii="长城小标宋体" w:hAnsi="华文中宋" w:eastAsia="长城小标宋体" w:cs="Times New Roman"/>
          <w:w w:val="95"/>
          <w:kern w:val="2"/>
          <w:sz w:val="44"/>
          <w:szCs w:val="44"/>
        </w:rPr>
        <w:t>年高平市举借债务情况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长城小标宋体" w:hAnsi="华文中宋" w:eastAsia="长城小标宋体" w:cs="Times New Roman"/>
          <w:w w:val="95"/>
          <w:kern w:val="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为提高债券资金使用效益，更好地发挥积极财政政策作用，省财政下达我市的2020年政府债券资金64625万元编入了年初预算并相应安排了支出。其中新增专项债46000万元，新增一般债券13625万元，再融资债券5000万元。主要用于太行一号国家风景道，高铁站前广场工程，第三热源厂热电联产，殡仪馆，台湾产业园，太华幼儿园，余热利用集中供热工程，二号消防站等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firstLine="640" w:firstLineChars="200"/>
        <w:jc w:val="both"/>
        <w:textAlignment w:val="auto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2020年到期债券5000万元，应付本金5000万元，应付利息4492万元,其中专项债券应付利息2985万元，一般债券应付利息1507万元。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textAlignment w:val="auto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spacing w:val="-20"/>
          <w:kern w:val="2"/>
          <w:sz w:val="32"/>
          <w:szCs w:val="32"/>
        </w:rPr>
        <w:t>2020上级财政部门下达我市地方政府债务限额16229</w:t>
      </w:r>
      <w:r>
        <w:rPr>
          <w:rFonts w:hint="eastAsia" w:ascii="仿宋_GB2312" w:hAnsi="Times New Roman" w:eastAsia="仿宋_GB2312" w:cs="Times New Roman"/>
          <w:spacing w:val="-20"/>
          <w:kern w:val="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Times New Roman"/>
          <w:spacing w:val="-20"/>
          <w:kern w:val="2"/>
          <w:sz w:val="32"/>
          <w:szCs w:val="32"/>
        </w:rPr>
        <w:t>万元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，截止2020年底，我市政府债务余额162249万元，债务率未超警戒线，地方政府债务总体可控。</w:t>
      </w: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520" w:lineRule="exact"/>
        <w:ind w:firstLine="640" w:firstLineChars="200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718E"/>
    <w:rsid w:val="00121AA4"/>
    <w:rsid w:val="00136365"/>
    <w:rsid w:val="002739FF"/>
    <w:rsid w:val="002C4020"/>
    <w:rsid w:val="00323B43"/>
    <w:rsid w:val="003D37D8"/>
    <w:rsid w:val="00426133"/>
    <w:rsid w:val="004358AB"/>
    <w:rsid w:val="00466144"/>
    <w:rsid w:val="004753F7"/>
    <w:rsid w:val="005A3B51"/>
    <w:rsid w:val="00642CA7"/>
    <w:rsid w:val="0064483F"/>
    <w:rsid w:val="006A76DF"/>
    <w:rsid w:val="00856C39"/>
    <w:rsid w:val="008B7726"/>
    <w:rsid w:val="008C4CB9"/>
    <w:rsid w:val="00942D11"/>
    <w:rsid w:val="00B06039"/>
    <w:rsid w:val="00B675AA"/>
    <w:rsid w:val="00D0443C"/>
    <w:rsid w:val="00D27301"/>
    <w:rsid w:val="00D31D50"/>
    <w:rsid w:val="00D8211C"/>
    <w:rsid w:val="00D95F0C"/>
    <w:rsid w:val="00E02ACC"/>
    <w:rsid w:val="00F2154A"/>
    <w:rsid w:val="00F33BE7"/>
    <w:rsid w:val="77E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dropdowntoolbarbutton1"/>
    <w:basedOn w:val="6"/>
    <w:qFormat/>
    <w:uiPriority w:val="0"/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142</TotalTime>
  <ScaleCrop>false</ScaleCrop>
  <LinksUpToDate>false</LinksUpToDate>
  <CharactersWithSpaces>353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2021-09-30T07:07:14Z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