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重大行政执法决定法制审核制度流程图</w:t>
      </w:r>
    </w:p>
    <w:p>
      <w:pPr>
        <w:rPr>
          <w:rFonts w:cs="Times New Roman"/>
          <w:color w:val="000000"/>
        </w:rPr>
      </w:pPr>
    </w:p>
    <w:p>
      <w:pPr>
        <w:tabs>
          <w:tab w:val="left" w:pos="3710"/>
          <w:tab w:val="left" w:pos="8030"/>
        </w:tabs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  <w:sz w:val="24"/>
          <w:szCs w:val="24"/>
        </w:rPr>
        <w:tab/>
      </w:r>
    </w:p>
    <w:p>
      <w:pPr>
        <w:tabs>
          <w:tab w:val="left" w:pos="3570"/>
          <w:tab w:val="left" w:pos="7980"/>
        </w:tabs>
        <w:rPr>
          <w:rFonts w:cs="Times New Roman"/>
          <w:color w:val="000000"/>
        </w:rPr>
      </w:pPr>
      <w:r>
        <w:pict>
          <v:shape id="_x0000_s1026" o:spid="_x0000_s1026" o:spt="176" type="#_x0000_t176" style="position:absolute;left:0pt;margin-left:603.75pt;margin-top:7.8pt;height:358.8pt;width:120.75pt;z-index:10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4"/>
                    <w:spacing w:before="0" w:beforeAutospacing="0" w:after="0" w:afterAutospacing="0"/>
                    <w:rPr>
                      <w:rFonts w:cs="Times New Roman"/>
                      <w:sz w:val="18"/>
                      <w:szCs w:val="18"/>
                    </w:rPr>
                  </w:pPr>
                </w:p>
                <w:p>
                  <w:pPr>
                    <w:pStyle w:val="4"/>
                    <w:spacing w:before="0" w:beforeAutospacing="0" w:after="0" w:afterAutospacing="0"/>
                    <w:rPr>
                      <w:rFonts w:cs="Times New Roman"/>
                      <w:sz w:val="18"/>
                      <w:szCs w:val="18"/>
                    </w:rPr>
                  </w:pPr>
                </w:p>
                <w:p>
                  <w:pPr>
                    <w:spacing w:line="206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z w:val="18"/>
                      <w:szCs w:val="18"/>
                    </w:rPr>
                    <w:t>采纳：</w:t>
                  </w:r>
                  <w:r>
                    <w:rPr>
                      <w:rFonts w:ascii="宋体" w:hAnsi="宋体" w:eastAsia="宋体" w:cs="宋体"/>
                      <w:sz w:val="18"/>
                      <w:szCs w:val="18"/>
                    </w:rPr>
                    <w:t>承办科室应当</w:t>
                  </w:r>
                </w:p>
                <w:p>
                  <w:pPr>
                    <w:spacing w:line="2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025" o:spt="75" type="#_x0000_t75" style="height:346.8pt;width:139.25pt;" filled="f" o:preferrelative="t" stroked="f" coordsize="21600,21600">
                        <v:path/>
                        <v:fill on="f" focussize="0,0"/>
                        <v:stroke on="f"/>
                        <v:imagedata r:id="rId5" o:title=""/>
                        <o:lock v:ext="edit" aspectratio="t"/>
                        <w10:wrap type="none"/>
                        <w10:anchorlock/>
                      </v:shape>
                    </w:pict>
                  </w:r>
                </w:p>
                <w:p>
                  <w:pPr>
                    <w:spacing w:line="87" w:lineRule="exact"/>
                    <w:rPr>
                      <w:sz w:val="20"/>
                      <w:szCs w:val="20"/>
                    </w:rPr>
                  </w:pPr>
                </w:p>
                <w:p>
                  <w:pPr>
                    <w:spacing w:line="206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z w:val="18"/>
                      <w:szCs w:val="18"/>
                    </w:rPr>
                    <w:t>充分研究采纳法制审核</w:t>
                  </w:r>
                </w:p>
                <w:p>
                  <w:pPr>
                    <w:spacing w:line="118" w:lineRule="exact"/>
                    <w:rPr>
                      <w:sz w:val="20"/>
                      <w:szCs w:val="20"/>
                    </w:rPr>
                  </w:pPr>
                </w:p>
                <w:p>
                  <w:pPr>
                    <w:spacing w:line="194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z w:val="17"/>
                      <w:szCs w:val="17"/>
                    </w:rPr>
                    <w:t>意见和建议，根据情况对</w:t>
                  </w:r>
                </w:p>
                <w:p>
                  <w:pPr>
                    <w:spacing w:line="107" w:lineRule="exact"/>
                    <w:rPr>
                      <w:sz w:val="20"/>
                      <w:szCs w:val="20"/>
                    </w:rPr>
                  </w:pPr>
                </w:p>
                <w:p>
                  <w:pPr>
                    <w:spacing w:line="206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z w:val="18"/>
                      <w:szCs w:val="18"/>
                    </w:rPr>
                    <w:t>拟作出的重大行政执法</w:t>
                  </w:r>
                </w:p>
                <w:p>
                  <w:pPr>
                    <w:spacing w:line="107" w:lineRule="exact"/>
                    <w:rPr>
                      <w:sz w:val="20"/>
                      <w:szCs w:val="20"/>
                    </w:rPr>
                  </w:pPr>
                </w:p>
                <w:p>
                  <w:pPr>
                    <w:spacing w:line="206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z w:val="18"/>
                      <w:szCs w:val="18"/>
                    </w:rPr>
                    <w:t>决定进行修改。</w:t>
                  </w:r>
                </w:p>
                <w:p>
                  <w:pPr>
                    <w:spacing w:line="107" w:lineRule="exact"/>
                    <w:rPr>
                      <w:sz w:val="20"/>
                      <w:szCs w:val="20"/>
                    </w:rPr>
                  </w:pPr>
                </w:p>
                <w:p>
                  <w:pPr>
                    <w:spacing w:line="206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z w:val="18"/>
                      <w:szCs w:val="18"/>
                    </w:rPr>
                    <w:t>决定：</w:t>
                  </w:r>
                  <w:r>
                    <w:rPr>
                      <w:rFonts w:ascii="宋体" w:hAnsi="宋体" w:eastAsia="宋体" w:cs="宋体"/>
                      <w:sz w:val="18"/>
                      <w:szCs w:val="18"/>
                    </w:rPr>
                    <w:t>重大行政执法</w:t>
                  </w:r>
                </w:p>
                <w:p>
                  <w:pPr>
                    <w:spacing w:line="107" w:lineRule="exact"/>
                    <w:rPr>
                      <w:sz w:val="20"/>
                      <w:szCs w:val="20"/>
                    </w:rPr>
                  </w:pPr>
                </w:p>
                <w:p>
                  <w:pPr>
                    <w:spacing w:line="206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z w:val="18"/>
                      <w:szCs w:val="18"/>
                    </w:rPr>
                    <w:t>决定经复核委员会审核</w:t>
                  </w:r>
                </w:p>
                <w:p>
                  <w:pPr>
                    <w:spacing w:line="118" w:lineRule="exact"/>
                    <w:rPr>
                      <w:sz w:val="20"/>
                      <w:szCs w:val="20"/>
                    </w:rPr>
                  </w:pPr>
                </w:p>
                <w:p>
                  <w:pPr>
                    <w:spacing w:line="194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z w:val="17"/>
                      <w:szCs w:val="17"/>
                    </w:rPr>
                    <w:t>同意，应当提交局长办公</w:t>
                  </w:r>
                </w:p>
                <w:p>
                  <w:pPr>
                    <w:spacing w:line="118" w:lineRule="exact"/>
                    <w:rPr>
                      <w:sz w:val="20"/>
                      <w:szCs w:val="20"/>
                    </w:rPr>
                  </w:pPr>
                </w:p>
                <w:p>
                  <w:pPr>
                    <w:spacing w:line="194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z w:val="17"/>
                      <w:szCs w:val="17"/>
                    </w:rPr>
                    <w:t>会集体讨论决定的，由承</w:t>
                  </w:r>
                </w:p>
                <w:p>
                  <w:pPr>
                    <w:spacing w:line="118" w:lineRule="exact"/>
                    <w:rPr>
                      <w:sz w:val="20"/>
                      <w:szCs w:val="20"/>
                    </w:rPr>
                  </w:pPr>
                </w:p>
                <w:p>
                  <w:pPr>
                    <w:spacing w:line="194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z w:val="17"/>
                      <w:szCs w:val="17"/>
                    </w:rPr>
                    <w:t>办科室提交集体讨论。法</w:t>
                  </w:r>
                </w:p>
                <w:p>
                  <w:pPr>
                    <w:spacing w:line="107" w:lineRule="exact"/>
                    <w:rPr>
                      <w:sz w:val="20"/>
                      <w:szCs w:val="20"/>
                    </w:rPr>
                  </w:pPr>
                </w:p>
                <w:p>
                  <w:pPr>
                    <w:spacing w:line="206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z w:val="18"/>
                      <w:szCs w:val="18"/>
                    </w:rPr>
                    <w:t>制审核意见与拟处理意</w:t>
                  </w:r>
                </w:p>
                <w:p>
                  <w:pPr>
                    <w:spacing w:line="118" w:lineRule="exact"/>
                    <w:rPr>
                      <w:sz w:val="20"/>
                      <w:szCs w:val="20"/>
                    </w:rPr>
                  </w:pPr>
                </w:p>
                <w:p>
                  <w:pPr>
                    <w:spacing w:line="194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z w:val="17"/>
                      <w:szCs w:val="17"/>
                    </w:rPr>
                    <w:t>见不一致的，提交局领导</w:t>
                  </w:r>
                </w:p>
                <w:p>
                  <w:pPr>
                    <w:spacing w:line="107" w:lineRule="exact"/>
                    <w:rPr>
                      <w:sz w:val="20"/>
                      <w:szCs w:val="20"/>
                    </w:rPr>
                  </w:pPr>
                </w:p>
                <w:p>
                  <w:pPr>
                    <w:spacing w:line="206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z w:val="18"/>
                      <w:szCs w:val="18"/>
                    </w:rPr>
                    <w:t>裁决或局长办公会集体</w:t>
                  </w:r>
                </w:p>
                <w:p>
                  <w:pPr>
                    <w:spacing w:line="107" w:lineRule="exact"/>
                    <w:rPr>
                      <w:sz w:val="20"/>
                      <w:szCs w:val="20"/>
                    </w:rPr>
                  </w:pPr>
                </w:p>
                <w:p>
                  <w:pPr>
                    <w:spacing w:line="206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z w:val="18"/>
                      <w:szCs w:val="18"/>
                    </w:rPr>
                    <w:t>讨论决定。</w:t>
                  </w:r>
                </w:p>
                <w:p>
                  <w:pPr>
                    <w:spacing w:line="107" w:lineRule="exact"/>
                    <w:rPr>
                      <w:sz w:val="20"/>
                      <w:szCs w:val="20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firstLine="341" w:firstLineChars="200"/>
                    <w:textAlignment w:val="auto"/>
                    <w:rPr>
                      <w:rFonts w:ascii="宋体" w:hAnsi="宋体" w:eastAsia="宋体" w:cs="宋体"/>
                      <w:sz w:val="17"/>
                      <w:szCs w:val="17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z w:val="17"/>
                      <w:szCs w:val="17"/>
                    </w:rPr>
                    <w:t>执行：</w:t>
                  </w:r>
                  <w:r>
                    <w:rPr>
                      <w:rFonts w:ascii="宋体" w:hAnsi="宋体" w:eastAsia="宋体" w:cs="宋体"/>
                      <w:sz w:val="17"/>
                      <w:szCs w:val="17"/>
                    </w:rPr>
                    <w:t>重大行政执法决定作出后，由</w:t>
                  </w:r>
                  <w:r>
                    <w:rPr>
                      <w:rFonts w:hint="eastAsia" w:ascii="宋体" w:hAnsi="宋体" w:eastAsia="宋体" w:cs="宋体"/>
                      <w:sz w:val="17"/>
                      <w:szCs w:val="17"/>
                      <w:lang w:val="en-US" w:eastAsia="zh-CN"/>
                    </w:rPr>
                    <w:t>承办部门</w:t>
                  </w:r>
                  <w:r>
                    <w:rPr>
                      <w:rFonts w:ascii="宋体" w:hAnsi="宋体" w:eastAsia="宋体" w:cs="宋体"/>
                      <w:sz w:val="17"/>
                      <w:szCs w:val="17"/>
                    </w:rPr>
                    <w:t>负责执行并做好立卷归档工作。</w:t>
                  </w:r>
                </w:p>
                <w:p>
                  <w:pPr>
                    <w:pStyle w:val="4"/>
                    <w:spacing w:before="0" w:beforeAutospacing="0" w:after="0" w:afterAutospacing="0"/>
                    <w:ind w:firstLine="480" w:firstLineChars="200"/>
                    <w:jc w:val="center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bookmarkStart w:id="0" w:name="_GoBack"/>
      <w:bookmarkEnd w:id="0"/>
      <w:r>
        <w:pict>
          <v:shape id="_x0000_s1027" o:spid="_x0000_s1027" o:spt="176" type="#_x0000_t176" style="position:absolute;left:0pt;margin-left:-21pt;margin-top:0pt;height:382.2pt;width:152.25pt;z-index:10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480" w:firstLineChars="200"/>
                    <w:textAlignment w:val="auto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480" w:firstLineChars="200"/>
                    <w:textAlignment w:val="auto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</w:p>
                <w:p>
                  <w:pPr>
                    <w:pStyle w:val="4"/>
                    <w:spacing w:before="0" w:beforeAutospacing="0" w:after="0" w:afterAutospacing="0"/>
                    <w:jc w:val="both"/>
                    <w:rPr>
                      <w:rFonts w:hint="eastAsia"/>
                      <w:sz w:val="18"/>
                      <w:szCs w:val="18"/>
                    </w:rPr>
                  </w:pPr>
                </w:p>
                <w:p>
                  <w:pPr>
                    <w:pStyle w:val="4"/>
                    <w:spacing w:before="0" w:beforeAutospacing="0" w:after="0" w:afterAutospacing="0"/>
                    <w:jc w:val="both"/>
                    <w:rPr>
                      <w:rFonts w:hint="eastAsia"/>
                      <w:sz w:val="18"/>
                      <w:szCs w:val="18"/>
                    </w:rPr>
                  </w:pPr>
                </w:p>
                <w:p>
                  <w:pPr>
                    <w:pStyle w:val="4"/>
                    <w:spacing w:before="0" w:beforeAutospacing="0" w:after="0" w:afterAutospacing="0"/>
                    <w:jc w:val="both"/>
                    <w:rPr>
                      <w:rFonts w:hint="eastAsia"/>
                      <w:sz w:val="18"/>
                      <w:szCs w:val="18"/>
                    </w:rPr>
                  </w:pPr>
                </w:p>
                <w:p>
                  <w:pPr>
                    <w:pStyle w:val="4"/>
                    <w:spacing w:before="0" w:beforeAutospacing="0" w:after="0" w:afterAutospacing="0"/>
                    <w:jc w:val="both"/>
                    <w:rPr>
                      <w:rFonts w:hint="eastAsia"/>
                      <w:sz w:val="18"/>
                      <w:szCs w:val="18"/>
                    </w:rPr>
                  </w:pPr>
                </w:p>
                <w:p>
                  <w:pPr>
                    <w:pStyle w:val="4"/>
                    <w:spacing w:before="0" w:beforeAutospacing="0" w:after="0" w:afterAutospacing="0"/>
                    <w:jc w:val="both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下列重大行政执法决定的法制审核：</w:t>
                  </w:r>
                </w:p>
                <w:p>
                  <w:pPr>
                    <w:pStyle w:val="4"/>
                    <w:spacing w:before="0" w:beforeAutospacing="0" w:after="0" w:afterAutospacing="0"/>
                    <w:jc w:val="both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（</w:t>
                  </w: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一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）</w:t>
                  </w:r>
                  <w:r>
                    <w:rPr>
                      <w:rFonts w:hint="eastAsia"/>
                      <w:sz w:val="18"/>
                      <w:szCs w:val="18"/>
                    </w:rPr>
                    <w:t>对公民的违法行为处以1000元以上（含1000元）、对法人或者其他组织处以</w:t>
                  </w: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10000</w:t>
                  </w:r>
                  <w:r>
                    <w:rPr>
                      <w:rFonts w:hint="eastAsia"/>
                      <w:sz w:val="18"/>
                      <w:szCs w:val="18"/>
                    </w:rPr>
                    <w:t>元以上罚款的；</w:t>
                  </w:r>
                </w:p>
                <w:p>
                  <w:pPr>
                    <w:pStyle w:val="4"/>
                    <w:spacing w:before="0" w:beforeAutospacing="0" w:after="0" w:afterAutospacing="0"/>
                    <w:jc w:val="both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（</w:t>
                  </w: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二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）</w:t>
                  </w:r>
                  <w:r>
                    <w:rPr>
                      <w:rFonts w:hint="eastAsia"/>
                      <w:sz w:val="18"/>
                      <w:szCs w:val="18"/>
                    </w:rPr>
                    <w:t>做出减轻或免予处罚的；</w:t>
                  </w:r>
                </w:p>
                <w:p>
                  <w:pPr>
                    <w:pStyle w:val="4"/>
                    <w:spacing w:before="0" w:beforeAutospacing="0" w:after="0" w:afterAutospacing="0"/>
                    <w:jc w:val="both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三</w:t>
                  </w:r>
                  <w:r>
                    <w:rPr>
                      <w:rFonts w:hint="eastAsia"/>
                      <w:sz w:val="18"/>
                      <w:szCs w:val="18"/>
                    </w:rPr>
                    <w:t>）行政强制执行案件；</w:t>
                  </w:r>
                </w:p>
                <w:p>
                  <w:pPr>
                    <w:pStyle w:val="4"/>
                    <w:spacing w:before="0" w:beforeAutospacing="0" w:after="0" w:afterAutospacing="0"/>
                    <w:jc w:val="both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（</w:t>
                  </w: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四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）</w:t>
                  </w:r>
                  <w:r>
                    <w:rPr>
                      <w:rFonts w:hint="eastAsia"/>
                      <w:sz w:val="18"/>
                      <w:szCs w:val="18"/>
                    </w:rPr>
                    <w:t>其他法律、法规、规章规定应当进行法制审核的。</w:t>
                  </w: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rFonts w:cs="Times New Roman"/>
          <w:color w:val="000000"/>
        </w:rPr>
        <w:tab/>
      </w:r>
      <w:r>
        <w:rPr>
          <w:rFonts w:hint="eastAsia"/>
          <w:sz w:val="24"/>
          <w:szCs w:val="24"/>
        </w:rPr>
        <w:t>报承办</w:t>
      </w:r>
      <w:r>
        <w:rPr>
          <w:rFonts w:hint="eastAsia"/>
          <w:sz w:val="24"/>
          <w:szCs w:val="24"/>
          <w:lang w:val="en-US" w:eastAsia="zh-CN"/>
        </w:rPr>
        <w:t>部门</w:t>
      </w:r>
      <w:r>
        <w:rPr>
          <w:rFonts w:hint="eastAsia"/>
          <w:sz w:val="24"/>
          <w:szCs w:val="24"/>
        </w:rPr>
        <w:t>主管领导审批</w:t>
      </w:r>
      <w:r>
        <w:rPr>
          <w:rFonts w:cs="Times New Roman"/>
          <w:color w:val="000000"/>
        </w:rPr>
        <w:tab/>
      </w:r>
      <w:r>
        <w:rPr>
          <w:rFonts w:hint="eastAsia"/>
          <w:sz w:val="24"/>
          <w:szCs w:val="24"/>
        </w:rPr>
        <w:t>报法制机构主管领导审批</w:t>
      </w:r>
    </w:p>
    <w:p>
      <w:pPr>
        <w:rPr>
          <w:rFonts w:cs="Times New Roman"/>
          <w:color w:val="000000"/>
        </w:rPr>
      </w:pPr>
    </w:p>
    <w:p>
      <w:pPr>
        <w:rPr>
          <w:rFonts w:cs="Times New Roman"/>
          <w:color w:val="000000"/>
        </w:rPr>
      </w:pPr>
      <w:r>
        <w:pict>
          <v:shape id="_x0000_s1028" o:spid="_x0000_s1028" o:spt="176" type="#_x0000_t176" style="position:absolute;left:0pt;margin-left:390.35pt;margin-top:9.4pt;height:104.25pt;width:162.75pt;z-index:1024;mso-width-relative:page;mso-height-relative:page;" fillcolor="#FFFFFF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  <w:sz w:val="18"/>
                      <w:szCs w:val="18"/>
                      <w:lang w:eastAsia="zh-CN"/>
                    </w:rPr>
                    <w:t>审核时间：</w:t>
                  </w:r>
                  <w:r>
                    <w:rPr>
                      <w:rFonts w:hint="eastAsia" w:cs="宋体"/>
                      <w:sz w:val="18"/>
                      <w:szCs w:val="18"/>
                    </w:rPr>
                    <w:t>法制机构在收到重大行政执法决定送审材料后，除另有规定外，应在七个工作日内审核完毕；案件复杂的，经本机关主要负责人批准可以延长</w:t>
                  </w:r>
                  <w:r>
                    <w:rPr>
                      <w:rFonts w:hint="eastAsia" w:cs="宋体"/>
                      <w:sz w:val="18"/>
                      <w:szCs w:val="18"/>
                      <w:lang w:val="en-US" w:eastAsia="zh-CN"/>
                    </w:rPr>
                    <w:t>三</w:t>
                  </w:r>
                  <w:r>
                    <w:rPr>
                      <w:rFonts w:hint="eastAsia" w:cs="宋体"/>
                      <w:sz w:val="18"/>
                      <w:szCs w:val="18"/>
                    </w:rPr>
                    <w:t>个工作日。</w:t>
                  </w:r>
                </w:p>
                <w:p>
                  <w:pPr>
                    <w:pStyle w:val="4"/>
                    <w:spacing w:before="0" w:beforeAutospacing="0" w:after="0" w:afterAutospacing="0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pict>
          <v:shape id="_x0000_s1029" o:spid="_x0000_s1029" o:spt="32" type="#_x0000_t32" style="position:absolute;left:0pt;margin-left:388.5pt;margin-top:0pt;height:0.05pt;width:162.75pt;z-index:10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0" o:spid="_x0000_s1030" o:spt="32" type="#_x0000_t32" style="position:absolute;left:0pt;margin-left:173.25pt;margin-top:0pt;height:0pt;width:157.5pt;z-index:10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1" o:spid="_x0000_s1031" o:spt="176" type="#_x0000_t176" style="position:absolute;left:0pt;margin-left:178.5pt;margin-top:7.8pt;height:101.4pt;width:152.25pt;z-index:10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4"/>
                    <w:spacing w:before="0" w:beforeAutospacing="0" w:after="0" w:afterAutospacing="0"/>
                    <w:jc w:val="both"/>
                    <w:rPr>
                      <w:rFonts w:hint="eastAsia"/>
                      <w:sz w:val="18"/>
                      <w:szCs w:val="18"/>
                    </w:rPr>
                  </w:pPr>
                </w:p>
                <w:p>
                  <w:pPr>
                    <w:pStyle w:val="4"/>
                    <w:spacing w:before="0" w:beforeAutospacing="0" w:after="0" w:afterAutospacing="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重大执法决定签发前</w:t>
                  </w:r>
                  <w:r>
                    <w:rPr>
                      <w:sz w:val="18"/>
                      <w:szCs w:val="18"/>
                    </w:rPr>
                    <w:t>,</w:t>
                  </w:r>
                  <w:r>
                    <w:rPr>
                      <w:rFonts w:hint="eastAsia"/>
                      <w:sz w:val="18"/>
                      <w:szCs w:val="18"/>
                    </w:rPr>
                    <w:t>由承办</w:t>
                  </w: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部门</w:t>
                  </w:r>
                  <w:r>
                    <w:rPr>
                      <w:rFonts w:hint="eastAsia"/>
                      <w:sz w:val="18"/>
                      <w:szCs w:val="18"/>
                    </w:rPr>
                    <w:t>报其主管领导同意后送审；应当提交机关负责人集体讨论的，在集体讨论前送审。</w:t>
                  </w:r>
                </w:p>
                <w:p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>
      <w:pPr>
        <w:rPr>
          <w:rFonts w:cs="Times New Roman"/>
          <w:color w:val="000000"/>
        </w:rPr>
      </w:pPr>
      <w:r>
        <w:rPr>
          <w:rFonts w:hint="eastAsia" w:cs="宋体"/>
          <w:color w:val="000000"/>
        </w:rPr>
        <w:t>承办</w:t>
      </w:r>
    </w:p>
    <w:p>
      <w:pPr>
        <w:rPr>
          <w:rFonts w:cs="Times New Roman"/>
          <w:color w:val="000000"/>
        </w:rPr>
      </w:pPr>
      <w:r>
        <w:pict>
          <v:shape id="_x0000_s1032" o:spid="_x0000_s1032" o:spt="109" type="#_x0000_t109" style="position:absolute;left:0pt;margin-left:136.5pt;margin-top:7.8pt;height:218.4pt;width:31.5pt;z-index:10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firstLine="157" w:firstLineChars="49"/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</w:p>
                <w:p>
                  <w:pPr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 w:cs="宋体"/>
                      <w:b/>
                      <w:bCs/>
                      <w:sz w:val="32"/>
                      <w:szCs w:val="32"/>
                    </w:rPr>
                    <w:t>承</w:t>
                  </w:r>
                </w:p>
                <w:p>
                  <w:pPr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 w:cs="宋体"/>
                      <w:b/>
                      <w:bCs/>
                      <w:sz w:val="32"/>
                      <w:szCs w:val="32"/>
                    </w:rPr>
                    <w:t>办</w:t>
                  </w:r>
                </w:p>
                <w:p>
                  <w:pPr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 w:cs="宋体"/>
                      <w:b/>
                      <w:bCs/>
                      <w:sz w:val="32"/>
                      <w:szCs w:val="32"/>
                    </w:rPr>
                    <w:t>机</w:t>
                  </w:r>
                </w:p>
                <w:p>
                  <w:pPr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 w:cs="宋体"/>
                      <w:b/>
                      <w:bCs/>
                      <w:sz w:val="32"/>
                      <w:szCs w:val="32"/>
                    </w:rPr>
                    <w:t>构</w:t>
                  </w:r>
                </w:p>
              </w:txbxContent>
            </v:textbox>
          </v:shape>
        </w:pict>
      </w:r>
      <w:r>
        <w:pict>
          <v:shape id="_x0000_s1033" o:spid="_x0000_s1033" o:spt="109" type="#_x0000_t109" style="position:absolute;left:0pt;margin-left:561.75pt;margin-top:0pt;height:218.4pt;width:31.5pt;z-index:10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</w:p>
                <w:p>
                  <w:pPr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 w:cs="宋体"/>
                      <w:b/>
                      <w:bCs/>
                      <w:sz w:val="32"/>
                      <w:szCs w:val="32"/>
                    </w:rPr>
                    <w:t>承</w:t>
                  </w:r>
                </w:p>
                <w:p>
                  <w:pPr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 w:cs="宋体"/>
                      <w:b/>
                      <w:bCs/>
                      <w:sz w:val="32"/>
                      <w:szCs w:val="32"/>
                    </w:rPr>
                    <w:t>办</w:t>
                  </w:r>
                </w:p>
                <w:p>
                  <w:pPr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 w:cs="宋体"/>
                      <w:b/>
                      <w:bCs/>
                      <w:sz w:val="32"/>
                      <w:szCs w:val="32"/>
                    </w:rPr>
                    <w:t>机</w:t>
                  </w:r>
                </w:p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  <w:b/>
                      <w:bCs/>
                      <w:sz w:val="32"/>
                      <w:szCs w:val="32"/>
                    </w:rPr>
                    <w:t>构</w:t>
                  </w:r>
                </w:p>
              </w:txbxContent>
            </v:textbox>
          </v:shape>
        </w:pict>
      </w:r>
      <w:r>
        <w:pict>
          <v:shape id="_x0000_s1034" o:spid="_x0000_s1034" o:spt="109" type="#_x0000_t109" style="position:absolute;left:0pt;margin-left:346.5pt;margin-top:0pt;height:218.4pt;width:31.5pt;z-index:10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</w:p>
                <w:p>
                  <w:pPr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 w:cs="宋体"/>
                      <w:b/>
                      <w:bCs/>
                      <w:sz w:val="32"/>
                      <w:szCs w:val="32"/>
                    </w:rPr>
                    <w:t>法制机构</w:t>
                  </w:r>
                </w:p>
              </w:txbxContent>
            </v:textbox>
          </v:shape>
        </w:pict>
      </w:r>
    </w:p>
    <w:p>
      <w:pPr>
        <w:rPr>
          <w:rFonts w:cs="Times New Roman"/>
          <w:color w:val="000000"/>
        </w:rPr>
      </w:pPr>
    </w:p>
    <w:p>
      <w:pPr>
        <w:rPr>
          <w:rFonts w:cs="Times New Roman"/>
          <w:color w:val="000000"/>
        </w:rPr>
      </w:pPr>
    </w:p>
    <w:p>
      <w:pPr>
        <w:rPr>
          <w:rFonts w:cs="Times New Roman"/>
          <w:color w:val="000000"/>
        </w:rPr>
      </w:pPr>
    </w:p>
    <w:p>
      <w:pPr>
        <w:tabs>
          <w:tab w:val="left" w:pos="4620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>
      <w:pPr>
        <w:tabs>
          <w:tab w:val="left" w:pos="8190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>
      <w:pPr>
        <w:tabs>
          <w:tab w:val="left" w:pos="3570"/>
          <w:tab w:val="left" w:pos="8190"/>
        </w:tabs>
        <w:rPr>
          <w:rFonts w:cs="Times New Roman"/>
          <w:color w:val="000000"/>
        </w:rPr>
      </w:pPr>
      <w:r>
        <w:pict>
          <v:shape id="_x0000_s1035" o:spid="_x0000_s1035" o:spt="32" type="#_x0000_t32" style="position:absolute;left:0pt;margin-left:393.75pt;margin-top:7.8pt;height:0pt;width:147pt;z-index:10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6" o:spid="_x0000_s1036" o:spt="32" type="#_x0000_t32" style="position:absolute;left:0pt;margin-left:178.5pt;margin-top:0pt;height:0pt;width:147pt;z-index:10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Times New Roman"/>
          <w:color w:val="000000"/>
        </w:rPr>
        <w:tab/>
      </w:r>
    </w:p>
    <w:p>
      <w:pPr>
        <w:tabs>
          <w:tab w:val="left" w:pos="3990"/>
          <w:tab w:val="left" w:pos="6195"/>
          <w:tab w:val="left" w:pos="9030"/>
        </w:tabs>
        <w:rPr>
          <w:rFonts w:cs="Times New Roman"/>
          <w:color w:val="000000"/>
        </w:rPr>
      </w:pPr>
      <w:r>
        <w:rPr>
          <w:rFonts w:hint="eastAsia" w:cs="宋体"/>
          <w:color w:val="000000"/>
        </w:rPr>
        <w:t>相关材料以及拟处理意见</w:t>
      </w:r>
      <w:r>
        <w:rPr>
          <w:rFonts w:cs="Times New Roman"/>
          <w:color w:val="000000"/>
        </w:rPr>
        <w:tab/>
      </w:r>
      <w:r>
        <w:rPr>
          <w:rFonts w:hint="eastAsia" w:cs="宋体"/>
          <w:color w:val="000000"/>
        </w:rPr>
        <w:t>相关材料和拟处理意见</w:t>
      </w:r>
      <w:r>
        <w:rPr>
          <w:rFonts w:cs="Times New Roman"/>
          <w:color w:val="000000"/>
        </w:rPr>
        <w:tab/>
      </w:r>
      <w:r>
        <w:rPr>
          <w:rFonts w:hint="eastAsia" w:cs="Times New Roman"/>
          <w:color w:val="000000"/>
          <w:lang w:val="en-US" w:eastAsia="zh-CN"/>
        </w:rPr>
        <w:t xml:space="preserve">                </w:t>
      </w:r>
      <w:r>
        <w:rPr>
          <w:rFonts w:hint="eastAsia" w:cs="宋体"/>
          <w:color w:val="000000"/>
        </w:rPr>
        <w:t>审核内容、意见和执法建议</w:t>
      </w:r>
    </w:p>
    <w:p>
      <w:pPr>
        <w:tabs>
          <w:tab w:val="left" w:pos="7980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>
      <w:pPr>
        <w:tabs>
          <w:tab w:val="left" w:pos="9240"/>
        </w:tabs>
        <w:rPr>
          <w:rFonts w:cs="Times New Roman"/>
          <w:color w:val="000000"/>
        </w:rPr>
      </w:pPr>
      <w:r>
        <w:pict>
          <v:shape id="_x0000_s1039" o:spid="_x0000_s1039" o:spt="176" type="#_x0000_t176" style="position:absolute;left:0pt;margin-left:391.55pt;margin-top:25.3pt;height:86.65pt;width:162.75pt;z-index:1024;mso-width-relative:page;mso-height-relative:page;" fillcolor="#FFFFFF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sz w:val="18"/>
                      <w:szCs w:val="18"/>
                    </w:rPr>
                    <w:t>审核方式：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法制审核以书面审核为主。法制机构在审核过程中，有权调阅行政执法活动相关材料；必要时也可以向当事人进行调查。</w:t>
                  </w:r>
                </w:p>
              </w:txbxContent>
            </v:textbox>
          </v:shape>
        </w:pict>
      </w:r>
      <w:r>
        <w:pict>
          <v:shape id="_x0000_s1037" o:spid="_x0000_s1037" o:spt="32" type="#_x0000_t32" style="position:absolute;left:0pt;margin-left:393.75pt;margin-top:7.8pt;height:0pt;width:147pt;z-index:10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8" o:spid="_x0000_s1038" o:spt="32" type="#_x0000_t32" style="position:absolute;left:0pt;flip:x;margin-left:178.5pt;margin-top:7.8pt;height:0pt;width:147pt;z-index:10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40" o:spid="_x0000_s1040" o:spt="176" type="#_x0000_t176" style="position:absolute;left:0pt;margin-left:178.5pt;margin-top:23.4pt;height:85pt;width:152.25pt;z-index:1024;mso-width-relative:page;mso-height-relative:page;" fillcolor="#FFFFFF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pStyle w:val="4"/>
                    <w:spacing w:before="0" w:beforeAutospacing="0" w:after="0" w:afterAutospacing="0"/>
                    <w:rPr>
                      <w:rFonts w:hint="eastAsia"/>
                      <w:sz w:val="18"/>
                      <w:szCs w:val="18"/>
                    </w:rPr>
                  </w:pPr>
                </w:p>
                <w:p>
                  <w:pPr>
                    <w:pStyle w:val="4"/>
                    <w:spacing w:before="0" w:beforeAutospacing="0" w:after="0" w:afterAutospacing="0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法制机构认为提交材料不齐全的，可以要求承办机构在指定时间提交。</w:t>
                  </w:r>
                </w:p>
                <w:p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rFonts w:cs="Times New Roman"/>
          <w:color w:val="000000"/>
        </w:rPr>
        <w:tab/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601" w:wrap="around" w:vAnchor="text" w:hAnchor="page" w:x="9256" w:y="5"/>
      <w:rPr>
        <w:rStyle w:val="9"/>
        <w:rFonts w:cs="Times New Roman"/>
        <w:sz w:val="28"/>
        <w:szCs w:val="28"/>
      </w:rPr>
    </w:pP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</w:t>
    </w:r>
    <w:r>
      <w:rPr>
        <w:rStyle w:val="9"/>
        <w:sz w:val="28"/>
        <w:szCs w:val="28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918"/>
    <w:rsid w:val="00003ED9"/>
    <w:rsid w:val="00007787"/>
    <w:rsid w:val="00013E34"/>
    <w:rsid w:val="000173DB"/>
    <w:rsid w:val="00017D43"/>
    <w:rsid w:val="00021B03"/>
    <w:rsid w:val="000500E9"/>
    <w:rsid w:val="000637D8"/>
    <w:rsid w:val="00066520"/>
    <w:rsid w:val="000921DB"/>
    <w:rsid w:val="00094A5D"/>
    <w:rsid w:val="000A1D31"/>
    <w:rsid w:val="000A1F8A"/>
    <w:rsid w:val="000B7B31"/>
    <w:rsid w:val="000D21CD"/>
    <w:rsid w:val="000D2DB8"/>
    <w:rsid w:val="000D7FED"/>
    <w:rsid w:val="00101A7B"/>
    <w:rsid w:val="00111E46"/>
    <w:rsid w:val="00150E69"/>
    <w:rsid w:val="001609DF"/>
    <w:rsid w:val="00185762"/>
    <w:rsid w:val="00192D11"/>
    <w:rsid w:val="00196C5A"/>
    <w:rsid w:val="001F6621"/>
    <w:rsid w:val="00206DA7"/>
    <w:rsid w:val="00226A30"/>
    <w:rsid w:val="002349A3"/>
    <w:rsid w:val="00262552"/>
    <w:rsid w:val="00294903"/>
    <w:rsid w:val="00296E24"/>
    <w:rsid w:val="002E7AE6"/>
    <w:rsid w:val="002F21FF"/>
    <w:rsid w:val="00313CE7"/>
    <w:rsid w:val="003375A4"/>
    <w:rsid w:val="00344C0C"/>
    <w:rsid w:val="0035676C"/>
    <w:rsid w:val="00373EE9"/>
    <w:rsid w:val="003C14EF"/>
    <w:rsid w:val="003D6EF9"/>
    <w:rsid w:val="003E1B9E"/>
    <w:rsid w:val="00411718"/>
    <w:rsid w:val="00422D56"/>
    <w:rsid w:val="00427F2F"/>
    <w:rsid w:val="004445BE"/>
    <w:rsid w:val="004505D8"/>
    <w:rsid w:val="00481BF7"/>
    <w:rsid w:val="004D2723"/>
    <w:rsid w:val="004F295D"/>
    <w:rsid w:val="004F4F73"/>
    <w:rsid w:val="005207B1"/>
    <w:rsid w:val="00543A4C"/>
    <w:rsid w:val="00551B5E"/>
    <w:rsid w:val="00571649"/>
    <w:rsid w:val="005A64D2"/>
    <w:rsid w:val="005B0EAD"/>
    <w:rsid w:val="005B3956"/>
    <w:rsid w:val="005F3881"/>
    <w:rsid w:val="005F6970"/>
    <w:rsid w:val="005F70CD"/>
    <w:rsid w:val="006016A5"/>
    <w:rsid w:val="00604624"/>
    <w:rsid w:val="0060697B"/>
    <w:rsid w:val="00620FF5"/>
    <w:rsid w:val="00626345"/>
    <w:rsid w:val="00630D93"/>
    <w:rsid w:val="006311C9"/>
    <w:rsid w:val="00656ABB"/>
    <w:rsid w:val="00663165"/>
    <w:rsid w:val="0068498F"/>
    <w:rsid w:val="006949AF"/>
    <w:rsid w:val="006A77A2"/>
    <w:rsid w:val="006B6918"/>
    <w:rsid w:val="006C6414"/>
    <w:rsid w:val="006D5E43"/>
    <w:rsid w:val="00706645"/>
    <w:rsid w:val="00710FD5"/>
    <w:rsid w:val="00716C56"/>
    <w:rsid w:val="007221F3"/>
    <w:rsid w:val="00737A05"/>
    <w:rsid w:val="00742348"/>
    <w:rsid w:val="00744E8C"/>
    <w:rsid w:val="00755051"/>
    <w:rsid w:val="007564E5"/>
    <w:rsid w:val="00772DAA"/>
    <w:rsid w:val="007A05DB"/>
    <w:rsid w:val="007B464C"/>
    <w:rsid w:val="007C5EB4"/>
    <w:rsid w:val="007C5EB5"/>
    <w:rsid w:val="007E0B3A"/>
    <w:rsid w:val="007F2886"/>
    <w:rsid w:val="00812CCB"/>
    <w:rsid w:val="00847CE5"/>
    <w:rsid w:val="00847EA6"/>
    <w:rsid w:val="00887991"/>
    <w:rsid w:val="00894A6D"/>
    <w:rsid w:val="008A7A4B"/>
    <w:rsid w:val="008D1319"/>
    <w:rsid w:val="008F1A3A"/>
    <w:rsid w:val="00934F29"/>
    <w:rsid w:val="00963D93"/>
    <w:rsid w:val="0097448D"/>
    <w:rsid w:val="00977B24"/>
    <w:rsid w:val="009F5CB2"/>
    <w:rsid w:val="00A13706"/>
    <w:rsid w:val="00A43503"/>
    <w:rsid w:val="00A46677"/>
    <w:rsid w:val="00A64B73"/>
    <w:rsid w:val="00A8053C"/>
    <w:rsid w:val="00AA241B"/>
    <w:rsid w:val="00AB1971"/>
    <w:rsid w:val="00AC7074"/>
    <w:rsid w:val="00AD335D"/>
    <w:rsid w:val="00AD3AC6"/>
    <w:rsid w:val="00AD68EE"/>
    <w:rsid w:val="00AE0C8A"/>
    <w:rsid w:val="00AF042F"/>
    <w:rsid w:val="00AF7AB5"/>
    <w:rsid w:val="00B11441"/>
    <w:rsid w:val="00B12241"/>
    <w:rsid w:val="00B20A1D"/>
    <w:rsid w:val="00B33E1A"/>
    <w:rsid w:val="00B35EC4"/>
    <w:rsid w:val="00B56335"/>
    <w:rsid w:val="00B64486"/>
    <w:rsid w:val="00B75433"/>
    <w:rsid w:val="00BB3CFF"/>
    <w:rsid w:val="00BC1206"/>
    <w:rsid w:val="00BE57B9"/>
    <w:rsid w:val="00BF04B4"/>
    <w:rsid w:val="00BF599A"/>
    <w:rsid w:val="00C07A5B"/>
    <w:rsid w:val="00C336F7"/>
    <w:rsid w:val="00C430B9"/>
    <w:rsid w:val="00C91344"/>
    <w:rsid w:val="00CA47AF"/>
    <w:rsid w:val="00CB67BB"/>
    <w:rsid w:val="00DB3BF1"/>
    <w:rsid w:val="00DC2EB2"/>
    <w:rsid w:val="00DC47E7"/>
    <w:rsid w:val="00DD7061"/>
    <w:rsid w:val="00E02710"/>
    <w:rsid w:val="00E06C9D"/>
    <w:rsid w:val="00E56F07"/>
    <w:rsid w:val="00E57B9C"/>
    <w:rsid w:val="00E62280"/>
    <w:rsid w:val="00E64390"/>
    <w:rsid w:val="00E832C7"/>
    <w:rsid w:val="00E91DBA"/>
    <w:rsid w:val="00E9752E"/>
    <w:rsid w:val="00EA1265"/>
    <w:rsid w:val="00EA1B19"/>
    <w:rsid w:val="00EA4C2D"/>
    <w:rsid w:val="00EA565E"/>
    <w:rsid w:val="00EA6B48"/>
    <w:rsid w:val="00EC3499"/>
    <w:rsid w:val="00ED5786"/>
    <w:rsid w:val="00EE0750"/>
    <w:rsid w:val="00EE430F"/>
    <w:rsid w:val="00F204BA"/>
    <w:rsid w:val="00F522BA"/>
    <w:rsid w:val="00FB76CE"/>
    <w:rsid w:val="00FC3B46"/>
    <w:rsid w:val="00FD6340"/>
    <w:rsid w:val="00FD6ACD"/>
    <w:rsid w:val="00FE4CCB"/>
    <w:rsid w:val="00FF7299"/>
    <w:rsid w:val="0817585C"/>
    <w:rsid w:val="0FCF505F"/>
    <w:rsid w:val="12AD3FF5"/>
    <w:rsid w:val="1680707F"/>
    <w:rsid w:val="19A67565"/>
    <w:rsid w:val="20F80B91"/>
    <w:rsid w:val="25B665CD"/>
    <w:rsid w:val="2B8A7F4A"/>
    <w:rsid w:val="2C125F7B"/>
    <w:rsid w:val="3BDD7214"/>
    <w:rsid w:val="3C7D17B3"/>
    <w:rsid w:val="3CE9427D"/>
    <w:rsid w:val="3DBD793C"/>
    <w:rsid w:val="410F02D0"/>
    <w:rsid w:val="483E0290"/>
    <w:rsid w:val="4A346C99"/>
    <w:rsid w:val="5AB67F6D"/>
    <w:rsid w:val="616E031C"/>
    <w:rsid w:val="62980E5A"/>
    <w:rsid w:val="634C251E"/>
    <w:rsid w:val="6A00736A"/>
    <w:rsid w:val="7AD54711"/>
    <w:rsid w:val="7B53349E"/>
    <w:rsid w:val="7C615F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5"/>
        <o:r id="V:Rule4" type="connector" idref="#_x0000_s1036"/>
        <o:r id="V:Rule5" type="connector" idref="#_x0000_s1037"/>
        <o:r id="V:Rule6" type="connector" idref="#_x0000_s103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locked/>
    <w:uiPriority w:val="99"/>
    <w:rPr>
      <w:b/>
      <w:bCs/>
    </w:rPr>
  </w:style>
  <w:style w:type="character" w:styleId="9">
    <w:name w:val="page number"/>
    <w:basedOn w:val="7"/>
    <w:qFormat/>
    <w:uiPriority w:val="99"/>
  </w:style>
  <w:style w:type="character" w:customStyle="1" w:styleId="10">
    <w:name w:val="页眉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9"/>
    <customShpInfo spid="_x0000_s1037"/>
    <customShpInfo spid="_x0000_s1038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18</Words>
  <Characters>107</Characters>
  <Lines>1</Lines>
  <Paragraphs>1</Paragraphs>
  <TotalTime>29</TotalTime>
  <ScaleCrop>false</ScaleCrop>
  <LinksUpToDate>false</LinksUpToDate>
  <CharactersWithSpaces>124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2017-02-16T02:38:00Z</dcterms:created>
  <dc:creator>王晓峰</dc:creator>
  <cp:lastModifiedBy>夜阑</cp:lastModifiedBy>
  <cp:lastPrinted>2017-04-19T01:11:00Z</cp:lastPrinted>
  <dcterms:modified xsi:type="dcterms:W3CDTF">2020-10-22T03:26:26Z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