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w:t>
      </w:r>
      <w:r>
        <w:rPr>
          <w:rFonts w:hint="eastAsia" w:ascii="黑体" w:hAnsi="黑体" w:eastAsia="黑体" w:cs="黑体"/>
          <w:b/>
          <w:bCs/>
          <w:color w:val="auto"/>
          <w:sz w:val="44"/>
          <w:szCs w:val="44"/>
          <w:lang w:val="en-US" w:eastAsia="zh-CN"/>
        </w:rPr>
        <w:t>行政执法事项</w:t>
      </w:r>
      <w:r>
        <w:rPr>
          <w:rFonts w:hint="eastAsia" w:ascii="黑体" w:hAnsi="黑体" w:eastAsia="黑体" w:cs="黑体"/>
          <w:b/>
          <w:bCs/>
          <w:color w:val="auto"/>
          <w:sz w:val="44"/>
          <w:szCs w:val="44"/>
        </w:rPr>
        <w:t>清单</w:t>
      </w:r>
      <w:bookmarkStart w:id="0" w:name="_GoBack"/>
      <w:bookmarkEnd w:id="0"/>
    </w:p>
    <w:tbl>
      <w:tblPr>
        <w:tblStyle w:val="5"/>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074"/>
        <w:gridCol w:w="951"/>
        <w:gridCol w:w="883"/>
        <w:gridCol w:w="800"/>
        <w:gridCol w:w="3717"/>
        <w:gridCol w:w="2587"/>
        <w:gridCol w:w="2822"/>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71"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25"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88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58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82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7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spacing w:beforeLines="50" w:afterLines="50"/>
              <w:jc w:val="center"/>
              <w:rPr>
                <w:rFonts w:hint="eastAsia" w:ascii="宋体" w:hAnsi="宋体" w:eastAsia="宋体" w:cs="宋体"/>
                <w:b/>
                <w:bCs/>
                <w:color w:val="auto"/>
                <w:sz w:val="18"/>
                <w:szCs w:val="18"/>
                <w:highlight w:val="none"/>
              </w:rPr>
            </w:pPr>
          </w:p>
        </w:tc>
        <w:tc>
          <w:tcPr>
            <w:tcW w:w="1074"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51"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883" w:type="dxa"/>
            <w:vMerge w:val="continue"/>
            <w:vAlign w:val="center"/>
          </w:tcPr>
          <w:p>
            <w:pPr>
              <w:spacing w:beforeLines="50" w:afterLines="50"/>
              <w:jc w:val="center"/>
              <w:rPr>
                <w:rFonts w:hint="eastAsia" w:ascii="宋体" w:hAnsi="宋体" w:eastAsia="宋体" w:cs="宋体"/>
                <w:b/>
                <w:bCs/>
                <w:color w:val="auto"/>
                <w:sz w:val="18"/>
                <w:szCs w:val="18"/>
                <w:highlight w:val="none"/>
              </w:rPr>
            </w:pPr>
          </w:p>
        </w:tc>
        <w:tc>
          <w:tcPr>
            <w:tcW w:w="800" w:type="dxa"/>
            <w:vMerge w:val="continue"/>
            <w:vAlign w:val="center"/>
          </w:tcPr>
          <w:p>
            <w:pPr>
              <w:spacing w:beforeLines="50" w:afterLines="50"/>
              <w:jc w:val="center"/>
              <w:rPr>
                <w:rFonts w:hint="eastAsia" w:ascii="宋体" w:hAnsi="宋体" w:eastAsia="宋体" w:cs="宋体"/>
                <w:b/>
                <w:bCs/>
                <w:color w:val="auto"/>
                <w:sz w:val="18"/>
                <w:szCs w:val="18"/>
                <w:highlight w:val="none"/>
              </w:rPr>
            </w:pPr>
          </w:p>
        </w:tc>
        <w:tc>
          <w:tcPr>
            <w:tcW w:w="3717" w:type="dxa"/>
            <w:vMerge w:val="continue"/>
            <w:vAlign w:val="center"/>
          </w:tcPr>
          <w:p>
            <w:pPr>
              <w:spacing w:beforeLines="50" w:afterLines="50"/>
              <w:jc w:val="center"/>
              <w:rPr>
                <w:rFonts w:hint="eastAsia" w:ascii="宋体" w:hAnsi="宋体" w:eastAsia="宋体" w:cs="宋体"/>
                <w:b/>
                <w:bCs/>
                <w:color w:val="auto"/>
                <w:sz w:val="18"/>
                <w:szCs w:val="18"/>
                <w:highlight w:val="none"/>
              </w:rPr>
            </w:pPr>
          </w:p>
        </w:tc>
        <w:tc>
          <w:tcPr>
            <w:tcW w:w="2587" w:type="dxa"/>
            <w:vMerge w:val="continue"/>
            <w:vAlign w:val="center"/>
          </w:tcPr>
          <w:p>
            <w:pPr>
              <w:spacing w:beforeLines="50" w:afterLines="50"/>
              <w:jc w:val="center"/>
              <w:rPr>
                <w:rFonts w:hint="eastAsia" w:ascii="宋体" w:hAnsi="宋体" w:eastAsia="宋体" w:cs="宋体"/>
                <w:b/>
                <w:bCs/>
                <w:color w:val="auto"/>
                <w:sz w:val="18"/>
                <w:szCs w:val="18"/>
                <w:highlight w:val="none"/>
              </w:rPr>
            </w:pPr>
          </w:p>
        </w:tc>
        <w:tc>
          <w:tcPr>
            <w:tcW w:w="2822" w:type="dxa"/>
            <w:vMerge w:val="continue"/>
            <w:vAlign w:val="center"/>
          </w:tcPr>
          <w:p>
            <w:pPr>
              <w:spacing w:beforeLines="50" w:afterLines="50"/>
              <w:jc w:val="center"/>
              <w:rPr>
                <w:rFonts w:hint="eastAsia" w:ascii="宋体" w:hAnsi="宋体" w:eastAsia="宋体" w:cs="宋体"/>
                <w:b/>
                <w:bCs/>
                <w:color w:val="auto"/>
                <w:sz w:val="18"/>
                <w:szCs w:val="18"/>
                <w:highlight w:val="none"/>
              </w:rPr>
            </w:pPr>
          </w:p>
        </w:tc>
        <w:tc>
          <w:tcPr>
            <w:tcW w:w="873" w:type="dxa"/>
            <w:vMerge w:val="continue"/>
            <w:vAlign w:val="center"/>
          </w:tcPr>
          <w:p>
            <w:pPr>
              <w:spacing w:beforeLines="50" w:afterLines="50"/>
              <w:jc w:val="center"/>
              <w:rPr>
                <w:rFonts w:hint="eastAsia" w:ascii="宋体" w:hAnsi="宋体" w:eastAsia="宋体" w:cs="宋体"/>
                <w:b/>
                <w:bCs/>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71"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0700-G-00400-140581</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1074"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城市生活无着的流浪乞讨人员救助管理</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951"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88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0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行政给付</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371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《城市生活无着的流浪乞讨人员救助管理办法》（国务院令第381号）</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第二条</w:t>
            </w:r>
            <w:r>
              <w:rPr>
                <w:rFonts w:hint="eastAsia" w:ascii="宋体" w:hAnsi="宋体" w:eastAsia="宋体" w:cs="宋体"/>
                <w:bCs/>
                <w:color w:val="auto"/>
                <w:sz w:val="20"/>
                <w:szCs w:val="20"/>
                <w:highlight w:val="none"/>
                <w:lang w:val="en-US" w:eastAsia="zh-CN"/>
              </w:rPr>
              <w:t xml:space="preserve"> </w:t>
            </w:r>
            <w:r>
              <w:rPr>
                <w:rFonts w:hint="eastAsia" w:ascii="宋体" w:hAnsi="宋体" w:eastAsia="宋体" w:cs="宋体"/>
                <w:bCs/>
                <w:color w:val="auto"/>
                <w:sz w:val="20"/>
                <w:szCs w:val="20"/>
                <w:highlight w:val="none"/>
                <w:lang w:eastAsia="zh-CN"/>
              </w:rPr>
              <w:t>县级以上城市人民政府应当根据需要设立流浪乞讨人员救助站。救助站对流浪乞讨人员的救助是一项临时性社会救助措施。</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第三条</w:t>
            </w:r>
            <w:r>
              <w:rPr>
                <w:rFonts w:hint="eastAsia" w:ascii="宋体" w:hAnsi="宋体" w:eastAsia="宋体" w:cs="宋体"/>
                <w:bCs/>
                <w:color w:val="auto"/>
                <w:sz w:val="20"/>
                <w:szCs w:val="20"/>
                <w:highlight w:val="none"/>
                <w:lang w:val="en-US" w:eastAsia="zh-CN"/>
              </w:rPr>
              <w:t xml:space="preserve"> </w:t>
            </w:r>
            <w:r>
              <w:rPr>
                <w:rFonts w:hint="eastAsia" w:ascii="宋体" w:hAnsi="宋体" w:eastAsia="宋体" w:cs="宋体"/>
                <w:bCs/>
                <w:color w:val="auto"/>
                <w:sz w:val="20"/>
                <w:szCs w:val="20"/>
                <w:highlight w:val="none"/>
                <w:lang w:eastAsia="zh-CN"/>
              </w:rPr>
              <w:t>县级以上城市人民政府应当采取积极措施及时救助流浪乞讨人员，并应当将救助工作所需经费列入财政预算，予以保障。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第十四条</w:t>
            </w:r>
            <w:r>
              <w:rPr>
                <w:rFonts w:hint="eastAsia" w:ascii="宋体" w:hAnsi="宋体" w:eastAsia="宋体" w:cs="宋体"/>
                <w:bCs/>
                <w:color w:val="auto"/>
                <w:sz w:val="20"/>
                <w:szCs w:val="20"/>
                <w:highlight w:val="none"/>
                <w:lang w:val="en-US" w:eastAsia="zh-CN"/>
              </w:rPr>
              <w:t xml:space="preserve"> </w:t>
            </w:r>
            <w:r>
              <w:rPr>
                <w:rFonts w:hint="eastAsia" w:ascii="宋体" w:hAnsi="宋体" w:eastAsia="宋体" w:cs="宋体"/>
                <w:bCs/>
                <w:color w:val="auto"/>
                <w:sz w:val="20"/>
                <w:szCs w:val="20"/>
                <w:highlight w:val="none"/>
                <w:lang w:eastAsia="zh-CN"/>
              </w:rPr>
              <w:t>县级以上人民政府民政部门应当加强对救助站工作人员的教育、培训和监督。</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《城市生活无着的流浪乞讨人员救助管理办法实施细则》（民政部令第24号）</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第二十二条</w:t>
            </w:r>
            <w:r>
              <w:rPr>
                <w:rFonts w:hint="eastAsia" w:ascii="宋体" w:hAnsi="宋体" w:eastAsia="宋体" w:cs="宋体"/>
                <w:bCs/>
                <w:color w:val="auto"/>
                <w:sz w:val="20"/>
                <w:szCs w:val="20"/>
                <w:highlight w:val="none"/>
                <w:lang w:val="en-US" w:eastAsia="zh-CN"/>
              </w:rPr>
              <w:t xml:space="preserve"> </w:t>
            </w:r>
            <w:r>
              <w:rPr>
                <w:rFonts w:hint="eastAsia" w:ascii="宋体" w:hAnsi="宋体" w:eastAsia="宋体" w:cs="宋体"/>
                <w:bCs/>
                <w:color w:val="auto"/>
                <w:sz w:val="20"/>
                <w:szCs w:val="20"/>
                <w:highlight w:val="none"/>
                <w:lang w:eastAsia="zh-CN"/>
              </w:rPr>
              <w:t>县级以上地方人民政府民政部门应当加强对救助站的领导和监督管理，履行以下职责：（一）监督救助站落实救助措施和规章制度；（二）指导检查救助工作情况;（三）对救助站工作人员进行教育、培训;（四）调查、处理救助站及其工作人员违法违纪问题；（五）帮助救助站解决困难，提供工作条件。</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2587" w:type="dxa"/>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ind w:left="0" w:leftChars="0" w:right="0" w:rightChars="0" w:firstLine="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 xml:space="preserve">受理责任：对申请人提交材料齐备的，予以受理。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val="0"/>
                <w:i w:val="0"/>
                <w:caps w:val="0"/>
                <w:color w:val="auto"/>
                <w:spacing w:val="0"/>
                <w:sz w:val="20"/>
                <w:szCs w:val="20"/>
                <w:highlight w:val="none"/>
              </w:rPr>
            </w:pPr>
            <w:r>
              <w:rPr>
                <w:rFonts w:hint="eastAsia" w:ascii="宋体" w:hAnsi="宋体" w:eastAsia="宋体" w:cs="宋体"/>
                <w:bCs/>
                <w:color w:val="auto"/>
                <w:sz w:val="20"/>
                <w:szCs w:val="20"/>
                <w:highlight w:val="none"/>
                <w:lang w:val="en-US" w:eastAsia="zh-CN"/>
              </w:rPr>
              <w:t>2.审查责任：对申请人提交的材料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val="0"/>
                <w:i w:val="0"/>
                <w:caps w:val="0"/>
                <w:color w:val="auto"/>
                <w:spacing w:val="0"/>
                <w:sz w:val="20"/>
                <w:szCs w:val="20"/>
                <w:highlight w:val="none"/>
              </w:rPr>
            </w:pPr>
            <w:r>
              <w:rPr>
                <w:rFonts w:hint="eastAsia" w:ascii="宋体" w:hAnsi="宋体" w:eastAsia="宋体" w:cs="宋体"/>
                <w:bCs/>
                <w:color w:val="auto"/>
                <w:sz w:val="20"/>
                <w:szCs w:val="20"/>
                <w:highlight w:val="none"/>
                <w:lang w:val="en-US" w:eastAsia="zh-CN"/>
              </w:rPr>
              <w:t xml:space="preserve">内容进行真实性审查。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 xml:space="preserve">决定责任：符合办理条件的，及时办。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 xml:space="preserve">给付责任：临时救助费用以现金发放。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b/>
                <w:i w:val="0"/>
                <w:caps w:val="0"/>
                <w:color w:val="auto"/>
                <w:spacing w:val="0"/>
                <w:kern w:val="0"/>
                <w:sz w:val="20"/>
                <w:szCs w:val="20"/>
                <w:highlight w:val="none"/>
                <w:lang w:val="en-US" w:eastAsia="zh-CN" w:bidi="ar"/>
              </w:rPr>
            </w:pPr>
            <w:r>
              <w:rPr>
                <w:rFonts w:hint="eastAsia" w:ascii="宋体" w:hAnsi="宋体" w:eastAsia="宋体" w:cs="宋体"/>
                <w:bCs/>
                <w:color w:val="auto"/>
                <w:sz w:val="20"/>
                <w:szCs w:val="20"/>
                <w:highlight w:val="none"/>
                <w:lang w:val="en-US" w:eastAsia="zh-CN"/>
              </w:rPr>
              <w:t>事后监管责任：开展定期不定期检查</w:t>
            </w:r>
            <w:r>
              <w:rPr>
                <w:rFonts w:hint="eastAsia" w:ascii="宋体" w:hAnsi="宋体" w:eastAsia="宋体" w:cs="宋体"/>
                <w:b/>
                <w:i w:val="0"/>
                <w:caps w:val="0"/>
                <w:color w:val="auto"/>
                <w:spacing w:val="0"/>
                <w:kern w:val="0"/>
                <w:sz w:val="20"/>
                <w:szCs w:val="20"/>
                <w:highlight w:val="none"/>
                <w:lang w:val="en-US" w:eastAsia="zh-CN" w:bidi="ar"/>
              </w:rPr>
              <w:t>，</w:t>
            </w:r>
            <w:r>
              <w:rPr>
                <w:rFonts w:hint="eastAsia" w:ascii="宋体" w:hAnsi="宋体" w:eastAsia="宋体" w:cs="宋体"/>
                <w:bCs/>
                <w:color w:val="auto"/>
                <w:sz w:val="20"/>
                <w:szCs w:val="20"/>
                <w:highlight w:val="none"/>
                <w:lang w:val="en-US" w:eastAsia="zh-CN"/>
              </w:rPr>
              <w:t xml:space="preserve">看资金是否发放到位。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其他：法律法规规章规定应履行的责任。</w:t>
            </w:r>
          </w:p>
        </w:tc>
        <w:tc>
          <w:tcPr>
            <w:tcW w:w="282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《城市生活无着的流浪乞讨人员救助》管理办法 第十五条 救助站</w:t>
            </w:r>
            <w:r>
              <w:rPr>
                <w:rFonts w:hint="eastAsia" w:ascii="宋体" w:hAnsi="宋体" w:eastAsia="宋体" w:cs="宋体"/>
                <w:bCs/>
                <w:color w:val="auto"/>
                <w:sz w:val="20"/>
                <w:szCs w:val="20"/>
                <w:highlight w:val="none"/>
              </w:rPr>
              <w:t>不履行救助职责的，求助人员可以向当地民政部门举报；民政部门经查证属实的，应当责令救助站及时提供救助，并对直接责任人员依法给予纪律处分。</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37"/>
        <w:gridCol w:w="897"/>
        <w:gridCol w:w="803"/>
        <w:gridCol w:w="3700"/>
        <w:gridCol w:w="2600"/>
        <w:gridCol w:w="282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50"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89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0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6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82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7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37"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897" w:type="dxa"/>
            <w:vMerge w:val="continue"/>
            <w:vAlign w:val="center"/>
          </w:tcPr>
          <w:p>
            <w:pPr>
              <w:spacing w:beforeLines="50" w:afterLines="50"/>
              <w:jc w:val="center"/>
              <w:rPr>
                <w:rFonts w:hint="eastAsia" w:ascii="宋体" w:hAnsi="宋体" w:eastAsia="宋体" w:cs="宋体"/>
                <w:b/>
                <w:bCs/>
                <w:color w:val="auto"/>
                <w:sz w:val="24"/>
                <w:highlight w:val="none"/>
              </w:rPr>
            </w:pPr>
          </w:p>
        </w:tc>
        <w:tc>
          <w:tcPr>
            <w:tcW w:w="803" w:type="dxa"/>
            <w:vMerge w:val="continue"/>
            <w:vAlign w:val="center"/>
          </w:tcPr>
          <w:p>
            <w:pPr>
              <w:spacing w:beforeLines="50" w:afterLines="50"/>
              <w:jc w:val="center"/>
              <w:rPr>
                <w:rFonts w:hint="eastAsia" w:ascii="宋体" w:hAnsi="宋体" w:eastAsia="宋体" w:cs="宋体"/>
                <w:b/>
                <w:bCs/>
                <w:color w:val="auto"/>
                <w:sz w:val="24"/>
                <w:highlight w:val="none"/>
              </w:rPr>
            </w:pPr>
          </w:p>
        </w:tc>
        <w:tc>
          <w:tcPr>
            <w:tcW w:w="3700" w:type="dxa"/>
            <w:vMerge w:val="continue"/>
            <w:vAlign w:val="center"/>
          </w:tcPr>
          <w:p>
            <w:pPr>
              <w:spacing w:beforeLines="50" w:afterLines="50"/>
              <w:jc w:val="center"/>
              <w:rPr>
                <w:rFonts w:hint="eastAsia" w:ascii="宋体" w:hAnsi="宋体" w:eastAsia="宋体" w:cs="宋体"/>
                <w:b/>
                <w:bCs/>
                <w:color w:val="auto"/>
                <w:sz w:val="24"/>
                <w:highlight w:val="none"/>
              </w:rPr>
            </w:pPr>
          </w:p>
        </w:tc>
        <w:tc>
          <w:tcPr>
            <w:tcW w:w="2600" w:type="dxa"/>
            <w:vMerge w:val="continue"/>
            <w:vAlign w:val="center"/>
          </w:tcPr>
          <w:p>
            <w:pPr>
              <w:spacing w:beforeLines="50" w:afterLines="50"/>
              <w:jc w:val="center"/>
              <w:rPr>
                <w:rFonts w:hint="eastAsia" w:ascii="宋体" w:hAnsi="宋体" w:eastAsia="宋体" w:cs="宋体"/>
                <w:b/>
                <w:bCs/>
                <w:color w:val="auto"/>
                <w:sz w:val="24"/>
                <w:highlight w:val="none"/>
              </w:rPr>
            </w:pPr>
          </w:p>
        </w:tc>
        <w:tc>
          <w:tcPr>
            <w:tcW w:w="2823" w:type="dxa"/>
            <w:vMerge w:val="continue"/>
            <w:vAlign w:val="center"/>
          </w:tcPr>
          <w:p>
            <w:pPr>
              <w:spacing w:beforeLines="50" w:afterLines="50"/>
              <w:jc w:val="center"/>
              <w:rPr>
                <w:rFonts w:hint="eastAsia" w:ascii="宋体" w:hAnsi="宋体" w:eastAsia="宋体" w:cs="宋体"/>
                <w:b/>
                <w:bCs/>
                <w:color w:val="auto"/>
                <w:sz w:val="24"/>
                <w:highlight w:val="none"/>
              </w:rPr>
            </w:pPr>
          </w:p>
        </w:tc>
        <w:tc>
          <w:tcPr>
            <w:tcW w:w="873" w:type="dxa"/>
            <w:vMerge w:val="continue"/>
            <w:vAlign w:val="center"/>
          </w:tcPr>
          <w:p>
            <w:pPr>
              <w:spacing w:beforeLines="50" w:afterLines="50"/>
              <w:jc w:val="center"/>
              <w:rPr>
                <w:rFonts w:hint="eastAsia" w:ascii="宋体" w:hAnsi="宋体" w:eastAsia="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0700-G-00100-140581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最低生活保障金给付</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89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0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行政给付</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37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社会救助暂行办法</w:t>
            </w:r>
            <w:r>
              <w:rPr>
                <w:rFonts w:hint="eastAsia" w:ascii="宋体" w:hAnsi="宋体" w:eastAsia="宋体" w:cs="宋体"/>
                <w:bCs/>
                <w:color w:val="auto"/>
                <w:sz w:val="20"/>
                <w:szCs w:val="20"/>
                <w:highlight w:val="none"/>
                <w:lang w:eastAsia="zh-CN"/>
              </w:rPr>
              <w:t>》第十一条 申请最低生活保障，按照下列程序办理</w:t>
            </w:r>
            <w:r>
              <w:rPr>
                <w:rFonts w:hint="eastAsia" w:ascii="宋体" w:hAnsi="宋体" w:eastAsia="宋体" w:cs="宋体"/>
                <w:bCs/>
                <w:color w:val="auto"/>
                <w:sz w:val="20"/>
                <w:szCs w:val="20"/>
                <w:highlight w:val="none"/>
                <w:lang w:val="en-US" w:eastAsia="zh-CN"/>
              </w:rPr>
              <w:t>;</w:t>
            </w:r>
            <w:r>
              <w:rPr>
                <w:rFonts w:hint="eastAsia" w:ascii="宋体" w:hAnsi="宋体" w:eastAsia="宋体" w:cs="宋体"/>
                <w:bCs/>
                <w:color w:val="auto"/>
                <w:sz w:val="20"/>
                <w:szCs w:val="20"/>
                <w:highlight w:val="none"/>
                <w:lang w:eastAsia="zh-CN"/>
              </w:rPr>
              <w:t>（一）由共同生活的家庭成员向户籍所在地的乡镇人民政府、街道办事处提出书面申请；家庭成员申请有困难的，可以委托村民委员会、居民委员会代为提出申请。 　　（二）乡镇人民政府、街道办事处应当通过入户调查、邻里访问、信函索证、群众评议、信息核查等方式，对申请人的家庭收入状况、财产状况进行调查核实，提出初审意见，在申请人所在村、社区公示后报县级人民政府民政部门审批。 　　（三）县级人民政府民政部门经审查，对符合条件的申请予以批准，并在申请人所在村、社区公布；对不符合条件的申请不予批准，并书面向申请人说明理由。 第十二条 对批准获得最低生活保障的家庭，县级人民政府民政部门按照共同生活的家庭成员人均收入低于当地最低生活保障标准的差额，按月发给最低生活保障金。</w:t>
            </w:r>
            <w:r>
              <w:rPr>
                <w:rFonts w:hint="eastAsia" w:ascii="宋体" w:hAnsi="宋体" w:eastAsia="宋体" w:cs="宋体"/>
                <w:bCs/>
                <w:color w:val="auto"/>
                <w:sz w:val="20"/>
                <w:szCs w:val="20"/>
                <w:highlight w:val="none"/>
                <w:lang w:val="en-US" w:eastAsia="zh-CN"/>
              </w:rPr>
              <w:t xml:space="preserve">    </w:t>
            </w:r>
            <w:r>
              <w:rPr>
                <w:rFonts w:hint="eastAsia" w:ascii="宋体" w:hAnsi="宋体" w:eastAsia="宋体" w:cs="宋体"/>
                <w:bCs/>
                <w:color w:val="auto"/>
                <w:sz w:val="20"/>
                <w:szCs w:val="20"/>
                <w:highlight w:val="none"/>
                <w:lang w:eastAsia="zh-CN"/>
              </w:rPr>
              <w:t>《山西省民政厅</w:t>
            </w:r>
            <w:r>
              <w:rPr>
                <w:rFonts w:hint="eastAsia" w:ascii="宋体" w:hAnsi="宋体" w:eastAsia="宋体" w:cs="宋体"/>
                <w:bCs/>
                <w:color w:val="auto"/>
                <w:sz w:val="20"/>
                <w:szCs w:val="20"/>
                <w:highlight w:val="none"/>
                <w:lang w:val="en-US" w:eastAsia="zh-CN"/>
              </w:rPr>
              <w:t xml:space="preserve"> 山西省财政厅关于扎实做好困难群众基本生活保障工作的通知》（晋民发（2020）42号）第六点全面优化社会救助工作流程，做到救助及时，鼓励有条件的地方可按程序将低保、特困等社会救助审核确认权限下放至乡镇（街道）。   中共中央办公厅厅 国务院办公厅印发《关于改革完善社会救助制度的意见》中第二点第二十四条，优化审核确认程序，有条件的地方可按程序将低保、特困等社会救助审核确认权限下放至乡镇（街道），县级民政部门加强监督指导。</w:t>
            </w:r>
          </w:p>
        </w:tc>
        <w:tc>
          <w:tcPr>
            <w:tcW w:w="2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1.</w:t>
            </w:r>
            <w:r>
              <w:rPr>
                <w:rFonts w:hint="eastAsia" w:ascii="宋体" w:hAnsi="宋体" w:eastAsia="宋体" w:cs="宋体"/>
                <w:bCs/>
                <w:color w:val="auto"/>
                <w:sz w:val="20"/>
                <w:szCs w:val="20"/>
                <w:highlight w:val="none"/>
              </w:rPr>
              <w:t xml:space="preserve">受理责任：乡镇人民政府（街道办事处）对申请人或者其代理人提交的材料进行审查，材料齐备的，予以受理；材料不齐备的，应当一次性告知申请人或者其代理人补齐所有规定材料。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 xml:space="preserve">2.审查责任：乡镇人民政府（街道办事处）应当根据家庭经济状况信息核对、入户调查等情况，在村（居）民委员会的协助下，以村（社区）为单位对申请人家庭经济状况调查结果的客观性、真实性进行民主评议，应当有详细的评议记录，形成评议结果。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3.决定责任：评议结束后，乡镇人民政府（街道办事处）应召开评审会进行集中审核。确认同意给予低保的，确定救助金额，经经办人、分管领导、乡（镇、办）领导签字后，应将入户调查、民主评议、审核确认结果、监督举报方式在乡镇人民政府（街道办事处）、村（居）民委员会公示栏进行公示，公示期为7天。对未通过评审的书面告知申请人或其代理人。</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 xml:space="preserve"> 4.给付责任：各乡镇人民政府（街道办事处）将《最低生活保障审核确认表》、近亲属备案表、新增低保对象花名表、民主评议记录及其他相关资料复印件报送市民政局</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按月发给最低生活保障金</w:t>
            </w:r>
            <w:r>
              <w:rPr>
                <w:rFonts w:hint="eastAsia" w:ascii="宋体" w:hAnsi="宋体" w:eastAsia="宋体" w:cs="宋体"/>
                <w:bCs/>
                <w:color w:val="auto"/>
                <w:sz w:val="20"/>
                <w:szCs w:val="20"/>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 xml:space="preserve">5.事后监管责任：市民政局工作人员对各乡镇人民政府（街道办事处）审核确认的新申请对象入户抽查，形成入户调查意见，对于发现问题向各乡镇人民政府（街道办事处）下达《低保审核确认监督指导意见书》，并督促乡镇人民政府（街道办事处）尽快完成整改工作。（市民政局工作人员按照《低保审核确认资料标准对照表》对各申请、复核对象的纸质版资料进行抽查，抽查结束后将《低保审核确认资料标准对照表》原件留放各乡镇人民政府（街道办事处），乡镇人民政府（街道办事处）工作人员根据问题完善、修正审核确认资料。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6.其他：法律法规规章规定应履行的责任。</w:t>
            </w:r>
          </w:p>
        </w:tc>
        <w:tc>
          <w:tcPr>
            <w:tcW w:w="28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社会救助暂行办法</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第66条 违</w:t>
            </w:r>
            <w:r>
              <w:rPr>
                <w:rFonts w:hint="eastAsia" w:ascii="宋体" w:hAnsi="宋体" w:eastAsia="宋体" w:cs="宋体"/>
                <w:bCs/>
                <w:color w:val="auto"/>
                <w:sz w:val="20"/>
                <w:szCs w:val="20"/>
                <w:highlight w:val="none"/>
              </w:rPr>
              <w:t>反本办法规定，有下列情形之一的，由上级行政机关或者监察机关责令改正；对直接负责的主管人员和其他直接责任人员依法给予处分：（一）对符合申请条件的救助申请不予受理的；（二）对符合救助条件的救助申请不予批准的；（三）对不符合救助条件的救助申请予以批准的；（四）泄露在工作中知悉的公民个人信息，造成后果的</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（五）丢失、篡改接受社会救助款物、服务记录等数据的；（六）不按照规定发放社会救助资金、物资或者提供相关服务的；（七）在履行社会救助职责过程中有其他滥用职权、玩忽职守、徇私舞弊行为的。</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auto"/>
                <w:sz w:val="20"/>
                <w:szCs w:val="20"/>
                <w:highlight w:val="none"/>
              </w:rPr>
            </w:pPr>
          </w:p>
        </w:tc>
      </w:tr>
    </w:tbl>
    <w:p>
      <w:pPr>
        <w:spacing w:beforeLines="50" w:afterLines="50"/>
        <w:rPr>
          <w:rFonts w:ascii="仿宋" w:hAnsi="仿宋" w:eastAsia="仿宋" w:cs="仿宋"/>
          <w:b/>
          <w:bCs/>
          <w:color w:val="auto"/>
          <w:sz w:val="32"/>
          <w:szCs w:val="32"/>
        </w:rPr>
      </w:pPr>
    </w:p>
    <w:p>
      <w:pPr>
        <w:spacing w:beforeLines="50" w:afterLines="50"/>
        <w:rPr>
          <w:rFonts w:ascii="仿宋" w:hAnsi="仿宋" w:eastAsia="仿宋" w:cs="仿宋"/>
          <w:b/>
          <w:bCs/>
          <w:color w:val="auto"/>
          <w:sz w:val="32"/>
          <w:szCs w:val="32"/>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37"/>
        <w:gridCol w:w="900"/>
        <w:gridCol w:w="817"/>
        <w:gridCol w:w="3700"/>
        <w:gridCol w:w="2533"/>
        <w:gridCol w:w="287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50"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53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87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7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37"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53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87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7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0700-G-00200-140581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临时救助金给付</w:t>
            </w: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1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行政给付</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37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社会救助暂行办法</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第47条</w:t>
            </w:r>
            <w:r>
              <w:rPr>
                <w:rFonts w:hint="eastAsia" w:ascii="宋体" w:hAnsi="宋体" w:eastAsia="宋体" w:cs="宋体"/>
                <w:bCs/>
                <w:color w:val="auto"/>
                <w:sz w:val="20"/>
                <w:szCs w:val="20"/>
                <w:highlight w:val="none"/>
              </w:rPr>
              <w:t>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253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受理责任：申请临时救助的</w:t>
            </w:r>
            <w:r>
              <w:rPr>
                <w:rFonts w:hint="eastAsia" w:ascii="宋体" w:hAnsi="宋体" w:eastAsia="宋体" w:cs="宋体"/>
                <w:bCs/>
                <w:color w:val="auto"/>
                <w:sz w:val="20"/>
                <w:szCs w:val="20"/>
                <w:highlight w:val="none"/>
                <w:lang w:val="en-US" w:eastAsia="zh-CN"/>
              </w:rPr>
              <w:t>城乡居民应以</w:t>
            </w:r>
            <w:r>
              <w:rPr>
                <w:rFonts w:hint="eastAsia" w:ascii="宋体" w:hAnsi="宋体" w:eastAsia="宋体" w:cs="宋体"/>
                <w:bCs/>
                <w:color w:val="auto"/>
                <w:sz w:val="20"/>
                <w:szCs w:val="20"/>
                <w:highlight w:val="none"/>
              </w:rPr>
              <w:t>家庭</w:t>
            </w:r>
            <w:r>
              <w:rPr>
                <w:rFonts w:hint="eastAsia" w:ascii="宋体" w:hAnsi="宋体" w:eastAsia="宋体" w:cs="宋体"/>
                <w:bCs/>
                <w:color w:val="auto"/>
                <w:sz w:val="20"/>
                <w:szCs w:val="20"/>
                <w:highlight w:val="none"/>
                <w:lang w:val="en-US" w:eastAsia="zh-CN"/>
              </w:rPr>
              <w:t>为单位，</w:t>
            </w:r>
            <w:r>
              <w:rPr>
                <w:rFonts w:hint="eastAsia" w:ascii="宋体" w:hAnsi="宋体" w:eastAsia="宋体" w:cs="宋体"/>
                <w:bCs/>
                <w:color w:val="auto"/>
                <w:sz w:val="20"/>
                <w:szCs w:val="20"/>
                <w:highlight w:val="none"/>
              </w:rPr>
              <w:t>向户籍所在地乡镇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提出书面申请，</w:t>
            </w:r>
            <w:r>
              <w:rPr>
                <w:rFonts w:hint="eastAsia" w:ascii="宋体" w:hAnsi="宋体" w:eastAsia="宋体" w:cs="宋体"/>
                <w:bCs/>
                <w:color w:val="auto"/>
                <w:sz w:val="20"/>
                <w:szCs w:val="20"/>
                <w:highlight w:val="none"/>
                <w:lang w:eastAsia="zh-CN"/>
              </w:rPr>
              <w:t>并提供相关材料</w:t>
            </w:r>
            <w:r>
              <w:rPr>
                <w:rFonts w:hint="eastAsia" w:ascii="宋体" w:hAnsi="宋体" w:eastAsia="宋体" w:cs="宋体"/>
                <w:bCs/>
                <w:color w:val="auto"/>
                <w:sz w:val="20"/>
                <w:szCs w:val="20"/>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2.</w:t>
            </w:r>
            <w:r>
              <w:rPr>
                <w:rFonts w:hint="eastAsia" w:ascii="宋体" w:hAnsi="宋体" w:eastAsia="宋体" w:cs="宋体"/>
                <w:bCs/>
                <w:color w:val="auto"/>
                <w:sz w:val="20"/>
                <w:szCs w:val="20"/>
                <w:highlight w:val="none"/>
              </w:rPr>
              <w:t>审查责任：乡镇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负责对临时救助申请对象的入户核查工作。</w:t>
            </w:r>
            <w:r>
              <w:rPr>
                <w:rFonts w:hint="eastAsia" w:ascii="宋体" w:hAnsi="宋体" w:eastAsia="宋体" w:cs="宋体"/>
                <w:bCs/>
                <w:color w:val="auto"/>
                <w:sz w:val="20"/>
                <w:szCs w:val="20"/>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3.决定责任：</w:t>
            </w:r>
            <w:r>
              <w:rPr>
                <w:rFonts w:hint="eastAsia" w:ascii="宋体" w:hAnsi="宋体" w:eastAsia="宋体" w:cs="宋体"/>
                <w:bCs/>
                <w:color w:val="auto"/>
                <w:sz w:val="20"/>
                <w:szCs w:val="20"/>
                <w:highlight w:val="none"/>
                <w:lang w:val="en-US" w:eastAsia="zh-CN"/>
              </w:rPr>
              <w:t>公示结束后，对无异议的对象，符合</w:t>
            </w:r>
            <w:r>
              <w:rPr>
                <w:rFonts w:hint="eastAsia" w:ascii="宋体" w:hAnsi="宋体" w:eastAsia="宋体" w:cs="宋体"/>
                <w:bCs/>
                <w:color w:val="auto"/>
                <w:sz w:val="20"/>
                <w:szCs w:val="20"/>
                <w:highlight w:val="none"/>
              </w:rPr>
              <w:t>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救助标准的，由</w:t>
            </w:r>
            <w:r>
              <w:rPr>
                <w:rFonts w:hint="eastAsia" w:ascii="宋体" w:hAnsi="宋体" w:eastAsia="宋体" w:cs="宋体"/>
                <w:bCs/>
                <w:color w:val="auto"/>
                <w:sz w:val="20"/>
                <w:szCs w:val="20"/>
                <w:highlight w:val="none"/>
              </w:rPr>
              <w:t>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直接审批予以救助；超过</w:t>
            </w:r>
            <w:r>
              <w:rPr>
                <w:rFonts w:hint="eastAsia" w:ascii="宋体" w:hAnsi="宋体" w:eastAsia="宋体" w:cs="宋体"/>
                <w:bCs/>
                <w:color w:val="auto"/>
                <w:sz w:val="20"/>
                <w:szCs w:val="20"/>
                <w:highlight w:val="none"/>
              </w:rPr>
              <w:t>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救助标准的，经领导签字盖章连同有关材料报市民政局，市民政局根据</w:t>
            </w:r>
            <w:r>
              <w:rPr>
                <w:rFonts w:hint="eastAsia" w:ascii="宋体" w:hAnsi="宋体" w:eastAsia="宋体" w:cs="宋体"/>
                <w:bCs/>
                <w:color w:val="auto"/>
                <w:sz w:val="20"/>
                <w:szCs w:val="20"/>
                <w:highlight w:val="none"/>
              </w:rPr>
              <w:t>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提出的审核意见及相关材料做出审批决定。对不符合条件的不予批准，将材料退回</w:t>
            </w:r>
            <w:r>
              <w:rPr>
                <w:rFonts w:hint="eastAsia" w:ascii="宋体" w:hAnsi="宋体" w:eastAsia="宋体" w:cs="宋体"/>
                <w:bCs/>
                <w:color w:val="auto"/>
                <w:sz w:val="20"/>
                <w:szCs w:val="20"/>
                <w:highlight w:val="none"/>
              </w:rPr>
              <w:t>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 xml:space="preserve"> 4.给付责任：根据救助金额，将救助金直接支付到申请人个人账户。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5.事后监管责任：受理举报、投诉，及时核实、处理。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 xml:space="preserve"> 6.其他：法律法规规章规定应履行的责任。</w:t>
            </w:r>
          </w:p>
        </w:tc>
        <w:tc>
          <w:tcPr>
            <w:tcW w:w="287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社会救助办法</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第66条违反</w:t>
            </w:r>
            <w:r>
              <w:rPr>
                <w:rFonts w:hint="eastAsia" w:ascii="宋体" w:hAnsi="宋体" w:eastAsia="宋体" w:cs="宋体"/>
                <w:bCs/>
                <w:color w:val="auto"/>
                <w:sz w:val="20"/>
                <w:szCs w:val="20"/>
                <w:highlight w:val="none"/>
              </w:rPr>
              <w:t>本办法规定，有下列情形之一的，由上级行政机关或者监察机关责令改正；对直接负责的主管人员和其他直接责任人员依法给予处分：（一）对符合申请条件的救助申请不予受理的；（二）对符合救助条件的救助申请不予批准的；（三）对不符合救助条件的救助申请予以批准的；（四）泄露在工作中知悉的公民个人信息，造成后果的；（五）丢失、篡改接受社会救助款物、服务记录等数据的；　（六）不按照规定发放社会救助资金、物资或者提供相关服务的；（七）在履行社会救助职责过程中有其他滥用职权、玩忽职守、徇私舞弊行为的。</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20"/>
        <w:gridCol w:w="917"/>
        <w:gridCol w:w="833"/>
        <w:gridCol w:w="3684"/>
        <w:gridCol w:w="2533"/>
        <w:gridCol w:w="287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33"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3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684"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53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87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7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20"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3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684"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53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87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7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0700-G-00300-140581</w:t>
            </w:r>
          </w:p>
        </w:tc>
        <w:tc>
          <w:tcPr>
            <w:tcW w:w="11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对孤儿基本生活保障金的给付</w:t>
            </w:r>
          </w:p>
        </w:tc>
        <w:tc>
          <w:tcPr>
            <w:tcW w:w="92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917"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3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行政给付</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3684"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FF0000"/>
                <w:sz w:val="20"/>
                <w:szCs w:val="20"/>
                <w:highlight w:val="none"/>
              </w:rPr>
            </w:pPr>
            <w:r>
              <w:rPr>
                <w:rFonts w:hint="eastAsia" w:ascii="宋体" w:hAnsi="宋体" w:eastAsia="宋体" w:cs="宋体"/>
                <w:bCs/>
                <w:color w:val="FF0000"/>
                <w:sz w:val="20"/>
                <w:szCs w:val="20"/>
                <w:highlight w:val="none"/>
                <w:lang w:val="en-US" w:eastAsia="zh-CN"/>
              </w:rPr>
              <w:t>《国务院办公厅关于加强孤儿保障工作的意见》(国办发〔2010〕54号)</w:t>
            </w:r>
            <w:r>
              <w:rPr>
                <w:rFonts w:hint="eastAsia" w:ascii="宋体" w:hAnsi="宋体" w:eastAsia="宋体" w:cs="宋体"/>
                <w:bCs/>
                <w:color w:val="auto"/>
                <w:sz w:val="20"/>
                <w:szCs w:val="20"/>
                <w:highlight w:val="none"/>
                <w:lang w:val="en-US" w:eastAsia="zh-CN"/>
              </w:rPr>
              <w:t>第二条第一款 (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款专用、按时发放，确保孤儿基本生活费用于孤儿。</w:t>
            </w:r>
          </w:p>
        </w:tc>
        <w:tc>
          <w:tcPr>
            <w:tcW w:w="2533" w:type="dxa"/>
            <w:vAlign w:val="center"/>
          </w:tcPr>
          <w:p>
            <w:pPr>
              <w:keepNext w:val="0"/>
              <w:keepLines w:val="0"/>
              <w:pageBreakBefore w:val="0"/>
              <w:numPr>
                <w:ilvl w:val="0"/>
                <w:numId w:val="4"/>
              </w:numPr>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 xml:space="preserve">受理责任：村（居）委对申请人提交的材料进行审查。 </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2.审查责任：乡镇人民政府（街道办事处）对申请人提交的材料内容进行审核。</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 xml:space="preserve"> 3.决定责任：市民政局对申请人的材料进行核定。符合办理条件的，及时予以办理。不符合条件的，告知理由。 </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 xml:space="preserve">4.给付责任：及时为符合条件的孤儿发放基本生活费。 </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 xml:space="preserve">5.事后监管责任：开展定期不定期检查，看资金是否发放到位。 </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6.其他：法律法规规章规定应履行的责任。</w:t>
            </w:r>
          </w:p>
        </w:tc>
        <w:tc>
          <w:tcPr>
            <w:tcW w:w="287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国务院办公厅关于加强孤儿保障工作的意见》第四条要加强对孤儿保障工作的领导，健全“政府主导，民政牵头，部门协作，社会参与”的孤儿保障工作机制，及时研究解决孤儿保障工作中存在的实际困难和问题。民政部门要发挥牵头部门作用，加强孤儿保障工作能力建设，充实儿童福利工作力量，强化对儿童福利机构的监督管理，建设好全国儿童福利信息管理系统。财政部门要建立稳定的经费保障机制，将孤儿保障所需资金纳入社会福利事业发展资金预算，通过财政拨款、民政部门使用的彩票公益金等渠道安排资金，切实保障孤儿的基本生活和儿童福利专项工作经费。发展改革、教育、公安、司法、人力资源社会保障、住房城乡建设、卫生、人口计生等部门要将孤儿保障有关工作列入职责范围和目标管理，进一步明确责任。</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both"/>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65"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114"/>
        <w:gridCol w:w="936"/>
        <w:gridCol w:w="917"/>
        <w:gridCol w:w="833"/>
        <w:gridCol w:w="3684"/>
        <w:gridCol w:w="2533"/>
        <w:gridCol w:w="2878"/>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5"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50"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3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684"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53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878"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55"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5"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4"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36"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3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684"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53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878"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55"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0700-G-00500-140581</w:t>
            </w:r>
          </w:p>
        </w:tc>
        <w:tc>
          <w:tcPr>
            <w:tcW w:w="111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特困人员救助供养金给付</w:t>
            </w:r>
          </w:p>
        </w:tc>
        <w:tc>
          <w:tcPr>
            <w:tcW w:w="936"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917"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3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行政给付</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3684"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社会救助暂行办法</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第十六条申请特困人员供养，由本人向户籍所在地的乡镇人民政府、街道办事处提出书面申请；本人申请有困难的，可以委托村民委员会、居民委员会代为提出申请。 第十七条 乡镇人民政府、街道办事处应当及时了解掌握居民的生活情况，发现符合特困供养条件的人员，应当主动为其依法办理供养。第十八条 特困供养人员不再符合供养条件的，村民委员会、居民委员会或者供养服务机构应当告知乡镇人民政府、街道办事处，由乡镇人民政府、街道办事处审核并报县级人民政府民政部门核准后，终止供养并予以公示。</w:t>
            </w:r>
            <w:r>
              <w:rPr>
                <w:rFonts w:hint="eastAsia" w:ascii="宋体" w:hAnsi="宋体" w:eastAsia="宋体" w:cs="宋体"/>
                <w:bCs/>
                <w:color w:val="auto"/>
                <w:sz w:val="20"/>
                <w:szCs w:val="20"/>
                <w:highlight w:val="none"/>
                <w:lang w:eastAsia="zh-CN"/>
              </w:rPr>
              <w:t>《山西省民政厅</w:t>
            </w:r>
            <w:r>
              <w:rPr>
                <w:rFonts w:hint="eastAsia" w:ascii="宋体" w:hAnsi="宋体" w:eastAsia="宋体" w:cs="宋体"/>
                <w:bCs/>
                <w:color w:val="auto"/>
                <w:sz w:val="20"/>
                <w:szCs w:val="20"/>
                <w:highlight w:val="none"/>
                <w:lang w:val="en-US" w:eastAsia="zh-CN"/>
              </w:rPr>
              <w:t xml:space="preserve"> 山西省财政厅关于扎实做好困难群众基本生活保障工作的通知》（晋民发（2020）42号）第六点全面优化社会救助工作流程，做到救助及时，鼓励有条件的地方可按程序将低保、特困等社会救助审核确认权限下放至乡镇（街道）。   中共中央办公厅 国务院办公厅印发《关于改革完善社会救助制度的意见》中第二点第二十四条优化审核确认程序，有条件的地方可按程序将低保、特困等社会救助审核确认权限下放至乡镇（街道），县级民政部门加强监督指导。</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253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 xml:space="preserve">"1.受理责任：申请特困人员救助供养，应当由本人向户籍所在地乡镇人民政府（街道办事处）提出书面申请。本人申请有困难的，可以委托村（居）民委员会或者他人代为提出申请。 </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2.审核责任：乡镇人民政府（街道办事处）应当自受理申请之日起20个工作日内，通过入户调查、邻里访问、信函索证、民主评议、信息核对等方式，对申请人的经济状况、实际生活状况以及赡养、抚养、扶养状况等进行调查核实，并提出审核意见。</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3.决定责任：乡镇人民政府（街道办事处）应当将审核意见及时在申请人所在村（社区）公示。公示期为7天。公示期满无异议的，乡镇人民政府（街道办事处）作出审批决定并报市民政局备案。</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 xml:space="preserve"> 4.给付责任：市民政局对通过审批的特困供养人员及时发放供养金。 </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5.事后监管责任： 市民政局应当全面审查乡镇人民政府（街道办事处）上报的申请材料、调查材料和审批结果，按照一定比例随机抽查核实。</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6.其他：法律法规规章规定应履行的责任。”</w:t>
            </w:r>
          </w:p>
        </w:tc>
        <w:tc>
          <w:tcPr>
            <w:tcW w:w="2878"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社会救助暂行办法</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六十六条 违反本办法规定，有下列情形之一的，由上级行政机关或者监察机关责令改正；对直接负责的主管人员和其他直接责任人员依法给予处分：（一）对符合申请条件的救助申请不予受理的；（二）对符合救助条件的救助申请不予批准的；（三）对不符合救助条件的救助申请予以批准的；（四）泄露在工作中知悉的公民个人信息，造成后果的；（五）丢失、篡改接受社会救助款物、服务记录等数据的；（六）不按照规定发放社会救助资金、物资或者提供相关服务的；（七）在履行社会救助职责过程中有其他滥用职权、玩忽职守、徇私舞弊行为的。</w:t>
            </w:r>
          </w:p>
        </w:tc>
        <w:tc>
          <w:tcPr>
            <w:tcW w:w="85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65"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117"/>
        <w:gridCol w:w="917"/>
        <w:gridCol w:w="950"/>
        <w:gridCol w:w="833"/>
        <w:gridCol w:w="3667"/>
        <w:gridCol w:w="2533"/>
        <w:gridCol w:w="288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5"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事项编码</w:t>
            </w:r>
          </w:p>
        </w:tc>
        <w:tc>
          <w:tcPr>
            <w:tcW w:w="2034" w:type="dxa"/>
            <w:gridSpan w:val="2"/>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事项名称</w:t>
            </w:r>
          </w:p>
        </w:tc>
        <w:tc>
          <w:tcPr>
            <w:tcW w:w="950"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实施主体</w:t>
            </w:r>
          </w:p>
        </w:tc>
        <w:tc>
          <w:tcPr>
            <w:tcW w:w="833"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事项类别</w:t>
            </w:r>
          </w:p>
        </w:tc>
        <w:tc>
          <w:tcPr>
            <w:tcW w:w="3667"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事项依据</w:t>
            </w:r>
          </w:p>
        </w:tc>
        <w:tc>
          <w:tcPr>
            <w:tcW w:w="2533"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责任事项</w:t>
            </w:r>
          </w:p>
        </w:tc>
        <w:tc>
          <w:tcPr>
            <w:tcW w:w="2883"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责任事项依据</w:t>
            </w:r>
          </w:p>
        </w:tc>
        <w:tc>
          <w:tcPr>
            <w:tcW w:w="850"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5" w:type="dxa"/>
            <w:vMerge w:val="continue"/>
            <w:vAlign w:val="center"/>
          </w:tcPr>
          <w:p>
            <w:pPr>
              <w:spacing w:beforeLines="50" w:afterLines="50"/>
              <w:jc w:val="center"/>
              <w:rPr>
                <w:rFonts w:hint="eastAsia" w:ascii="宋体" w:hAnsi="宋体" w:eastAsia="宋体" w:cs="宋体"/>
                <w:b/>
                <w:bCs/>
                <w:color w:val="auto"/>
                <w:sz w:val="24"/>
                <w:szCs w:val="24"/>
              </w:rPr>
            </w:pPr>
          </w:p>
        </w:tc>
        <w:tc>
          <w:tcPr>
            <w:tcW w:w="1117" w:type="dxa"/>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大项</w:t>
            </w:r>
          </w:p>
        </w:tc>
        <w:tc>
          <w:tcPr>
            <w:tcW w:w="917" w:type="dxa"/>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子项</w:t>
            </w:r>
          </w:p>
        </w:tc>
        <w:tc>
          <w:tcPr>
            <w:tcW w:w="950" w:type="dxa"/>
            <w:vMerge w:val="continue"/>
            <w:vAlign w:val="center"/>
          </w:tcPr>
          <w:p>
            <w:pPr>
              <w:spacing w:beforeLines="50" w:afterLines="50"/>
              <w:jc w:val="center"/>
              <w:rPr>
                <w:rFonts w:hint="eastAsia" w:ascii="宋体" w:hAnsi="宋体" w:eastAsia="宋体" w:cs="宋体"/>
                <w:b/>
                <w:bCs/>
                <w:color w:val="auto"/>
                <w:sz w:val="24"/>
                <w:szCs w:val="24"/>
              </w:rPr>
            </w:pPr>
          </w:p>
        </w:tc>
        <w:tc>
          <w:tcPr>
            <w:tcW w:w="833" w:type="dxa"/>
            <w:vMerge w:val="continue"/>
            <w:vAlign w:val="center"/>
          </w:tcPr>
          <w:p>
            <w:pPr>
              <w:spacing w:beforeLines="50" w:afterLines="50"/>
              <w:jc w:val="center"/>
              <w:rPr>
                <w:rFonts w:hint="eastAsia" w:ascii="宋体" w:hAnsi="宋体" w:eastAsia="宋体" w:cs="宋体"/>
                <w:b/>
                <w:bCs/>
                <w:color w:val="auto"/>
                <w:sz w:val="24"/>
                <w:szCs w:val="24"/>
              </w:rPr>
            </w:pPr>
          </w:p>
        </w:tc>
        <w:tc>
          <w:tcPr>
            <w:tcW w:w="3667" w:type="dxa"/>
            <w:vMerge w:val="continue"/>
            <w:vAlign w:val="center"/>
          </w:tcPr>
          <w:p>
            <w:pPr>
              <w:spacing w:beforeLines="50" w:afterLines="50"/>
              <w:jc w:val="center"/>
              <w:rPr>
                <w:rFonts w:hint="eastAsia" w:ascii="宋体" w:hAnsi="宋体" w:eastAsia="宋体" w:cs="宋体"/>
                <w:b/>
                <w:bCs/>
                <w:color w:val="auto"/>
                <w:sz w:val="24"/>
                <w:szCs w:val="24"/>
              </w:rPr>
            </w:pPr>
          </w:p>
        </w:tc>
        <w:tc>
          <w:tcPr>
            <w:tcW w:w="2533" w:type="dxa"/>
            <w:vMerge w:val="continue"/>
            <w:vAlign w:val="center"/>
          </w:tcPr>
          <w:p>
            <w:pPr>
              <w:spacing w:beforeLines="50" w:afterLines="50"/>
              <w:jc w:val="center"/>
              <w:rPr>
                <w:rFonts w:hint="eastAsia" w:ascii="宋体" w:hAnsi="宋体" w:eastAsia="宋体" w:cs="宋体"/>
                <w:b/>
                <w:bCs/>
                <w:color w:val="auto"/>
                <w:sz w:val="24"/>
                <w:szCs w:val="24"/>
              </w:rPr>
            </w:pPr>
          </w:p>
        </w:tc>
        <w:tc>
          <w:tcPr>
            <w:tcW w:w="2883" w:type="dxa"/>
            <w:vMerge w:val="continue"/>
            <w:vAlign w:val="center"/>
          </w:tcPr>
          <w:p>
            <w:pPr>
              <w:spacing w:beforeLines="50" w:afterLines="50"/>
              <w:jc w:val="center"/>
              <w:rPr>
                <w:rFonts w:hint="eastAsia" w:ascii="宋体" w:hAnsi="宋体" w:eastAsia="宋体" w:cs="宋体"/>
                <w:b/>
                <w:bCs/>
                <w:color w:val="auto"/>
                <w:sz w:val="24"/>
                <w:szCs w:val="24"/>
              </w:rPr>
            </w:pPr>
          </w:p>
        </w:tc>
        <w:tc>
          <w:tcPr>
            <w:tcW w:w="850" w:type="dxa"/>
            <w:vMerge w:val="continue"/>
            <w:vAlign w:val="center"/>
          </w:tcPr>
          <w:p>
            <w:pPr>
              <w:spacing w:beforeLines="50" w:afterLines="50"/>
              <w:jc w:val="center"/>
              <w:rPr>
                <w:rFonts w:hint="eastAsia" w:ascii="宋体" w:hAnsi="宋体" w:eastAsia="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5" w:hRule="atLeast"/>
        </w:trPr>
        <w:tc>
          <w:tcPr>
            <w:tcW w:w="121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lang w:eastAsia="zh-CN"/>
              </w:rPr>
              <w:t>0700-G-00600-140581</w:t>
            </w:r>
          </w:p>
        </w:tc>
        <w:tc>
          <w:tcPr>
            <w:tcW w:w="111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lang w:val="en-US" w:eastAsia="zh-CN"/>
              </w:rPr>
              <w:t>特殊救济对象补助金给付</w:t>
            </w:r>
          </w:p>
        </w:tc>
        <w:tc>
          <w:tcPr>
            <w:tcW w:w="917"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p>
        </w:tc>
        <w:tc>
          <w:tcPr>
            <w:tcW w:w="95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高平市民政局</w:t>
            </w:r>
          </w:p>
        </w:tc>
        <w:tc>
          <w:tcPr>
            <w:tcW w:w="83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lang w:val="en-US" w:eastAsia="zh-CN"/>
              </w:rPr>
              <w:t>行政给付</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p>
        </w:tc>
        <w:tc>
          <w:tcPr>
            <w:tcW w:w="3667"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r>
              <w:rPr>
                <w:rFonts w:hint="eastAsia" w:ascii="宋体" w:hAnsi="宋体" w:eastAsia="宋体" w:cs="宋体"/>
                <w:bCs/>
                <w:color w:val="FF0000"/>
                <w:sz w:val="20"/>
                <w:szCs w:val="20"/>
                <w:lang w:eastAsia="zh-CN"/>
              </w:rPr>
              <w:t>《</w:t>
            </w:r>
            <w:r>
              <w:rPr>
                <w:rFonts w:hint="eastAsia" w:ascii="宋体" w:hAnsi="宋体" w:eastAsia="宋体" w:cs="宋体"/>
                <w:bCs/>
                <w:color w:val="FF0000"/>
                <w:sz w:val="20"/>
                <w:szCs w:val="20"/>
                <w:lang w:val="en-US" w:eastAsia="zh-CN"/>
              </w:rPr>
              <w:t>国务院关于精减退职的老职工生活困难救济问题的通知</w:t>
            </w:r>
            <w:r>
              <w:rPr>
                <w:rFonts w:hint="eastAsia" w:ascii="宋体" w:hAnsi="宋体" w:eastAsia="宋体" w:cs="宋体"/>
                <w:bCs/>
                <w:color w:val="FF0000"/>
                <w:sz w:val="20"/>
                <w:szCs w:val="20"/>
                <w:lang w:eastAsia="zh-CN"/>
              </w:rPr>
              <w:t>》</w:t>
            </w:r>
            <w:r>
              <w:rPr>
                <w:rFonts w:hint="eastAsia" w:ascii="宋体" w:hAnsi="宋体" w:eastAsia="宋体" w:cs="宋体"/>
                <w:bCs/>
                <w:color w:val="FF0000"/>
                <w:sz w:val="20"/>
                <w:szCs w:val="20"/>
                <w:highlight w:val="none"/>
                <w:lang w:val="en-US" w:eastAsia="zh-CN"/>
              </w:rPr>
              <w:t>(国内字224号)</w:t>
            </w:r>
            <w:r>
              <w:rPr>
                <w:rFonts w:hint="eastAsia" w:ascii="宋体" w:hAnsi="宋体" w:eastAsia="宋体" w:cs="宋体"/>
                <w:bCs/>
                <w:color w:val="auto"/>
                <w:sz w:val="20"/>
                <w:szCs w:val="20"/>
              </w:rPr>
              <w:t>二、凡是已经按月享受本人原标准工资百分之三十救济费的退职老弱残职工，从本通知下达后的下一个月起，一律改为按本人原标准工资百分之四十发给救济费。 七、对于从一九六一年到本通知下达之日期间精减</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退职的一九五七年年底以前参加工作的职工中，凡是不符合本通知第一条规定的身体条件而生活困难的，由民政部门给以社会救济，应使他们的生活不低于当地一般居民；职工本人的疾病医疗费用，如果本人负担确有困难的，民政部门可给予适当救济。</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p>
        </w:tc>
        <w:tc>
          <w:tcPr>
            <w:tcW w:w="25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jc w:val="both"/>
              <w:textAlignment w:val="auto"/>
              <w:rPr>
                <w:rFonts w:hint="eastAsia" w:ascii="宋体" w:hAnsi="宋体" w:eastAsia="宋体" w:cs="宋体"/>
                <w:bCs/>
                <w:color w:val="auto"/>
                <w:sz w:val="20"/>
                <w:szCs w:val="20"/>
                <w:lang w:val="en-US" w:eastAsia="zh-CN"/>
              </w:rPr>
            </w:pPr>
            <w:r>
              <w:rPr>
                <w:rFonts w:hint="eastAsia" w:ascii="宋体" w:hAnsi="宋体" w:eastAsia="宋体" w:cs="宋体"/>
                <w:bCs/>
                <w:color w:val="auto"/>
                <w:sz w:val="20"/>
                <w:szCs w:val="20"/>
                <w:lang w:val="en-US" w:eastAsia="zh-CN"/>
              </w:rPr>
              <w:t xml:space="preserve">1.受理责任：对申请人提交材料进行审查，材料齐备的，予以受理；申请材料不齐全或者不符合申请办理程序的,应告知申请人补齐资料或申请办理的相关程序。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lang w:val="en-US" w:eastAsia="zh-CN"/>
              </w:rPr>
            </w:pPr>
            <w:r>
              <w:rPr>
                <w:rFonts w:hint="eastAsia" w:ascii="宋体" w:hAnsi="宋体" w:eastAsia="宋体" w:cs="宋体"/>
                <w:bCs/>
                <w:color w:val="auto"/>
                <w:sz w:val="20"/>
                <w:szCs w:val="20"/>
                <w:lang w:val="en-US" w:eastAsia="zh-CN"/>
              </w:rPr>
              <w:t>2.审查责任：对申请人提交的材料内容进行真实性审查。依法需要对申请材料的实质内容进行核实的，进行入户调查、走访核实。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lang w:val="en-US" w:eastAsia="zh-CN"/>
              </w:rPr>
            </w:pPr>
            <w:r>
              <w:rPr>
                <w:rFonts w:hint="eastAsia" w:ascii="宋体" w:hAnsi="宋体" w:eastAsia="宋体" w:cs="宋体"/>
                <w:bCs/>
                <w:color w:val="auto"/>
                <w:sz w:val="20"/>
                <w:szCs w:val="20"/>
                <w:lang w:val="en-US" w:eastAsia="zh-CN"/>
              </w:rPr>
              <w:t>3.决定责任：符合办理条件的，予以及时审批决定。不符合条件的，告知理由。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lang w:val="en-US" w:eastAsia="zh-CN"/>
              </w:rPr>
            </w:pPr>
            <w:r>
              <w:rPr>
                <w:rFonts w:hint="eastAsia" w:ascii="宋体" w:hAnsi="宋体" w:eastAsia="宋体" w:cs="宋体"/>
                <w:bCs/>
                <w:color w:val="auto"/>
                <w:sz w:val="20"/>
                <w:szCs w:val="20"/>
                <w:lang w:val="en-US" w:eastAsia="zh-CN"/>
              </w:rPr>
              <w:t>4.给付责任：将符合办理条件者的花名，按时送交财务股。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lang w:val="en-US" w:eastAsia="zh-CN"/>
              </w:rPr>
            </w:pPr>
            <w:r>
              <w:rPr>
                <w:rFonts w:hint="eastAsia" w:ascii="宋体" w:hAnsi="宋体" w:eastAsia="宋体" w:cs="宋体"/>
                <w:bCs/>
                <w:color w:val="auto"/>
                <w:sz w:val="20"/>
                <w:szCs w:val="20"/>
                <w:lang w:val="en-US" w:eastAsia="zh-CN"/>
              </w:rPr>
              <w:t>5.事后监管责任：开展定期不定期检查，看资金是否发放到</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jc w:val="both"/>
              <w:textAlignment w:val="auto"/>
              <w:rPr>
                <w:rFonts w:hint="eastAsia" w:ascii="宋体" w:hAnsi="宋体" w:eastAsia="宋体" w:cs="宋体"/>
                <w:bCs/>
                <w:color w:val="auto"/>
                <w:sz w:val="20"/>
                <w:szCs w:val="20"/>
                <w:lang w:val="en-US" w:eastAsia="zh-CN"/>
              </w:rPr>
            </w:pPr>
            <w:r>
              <w:rPr>
                <w:rFonts w:hint="eastAsia" w:ascii="宋体" w:hAnsi="宋体" w:eastAsia="宋体" w:cs="宋体"/>
                <w:bCs/>
                <w:color w:val="auto"/>
                <w:sz w:val="20"/>
                <w:szCs w:val="20"/>
                <w:lang w:val="en-US" w:eastAsia="zh-CN"/>
              </w:rPr>
              <w:t xml:space="preserve">位。 </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lang w:val="en-US" w:eastAsia="zh-CN"/>
              </w:rPr>
              <w:t>6.其他：法律法规规章规定应履行的责任。</w:t>
            </w:r>
          </w:p>
        </w:tc>
        <w:tc>
          <w:tcPr>
            <w:tcW w:w="288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lang w:eastAsia="zh-CN"/>
              </w:rPr>
              <w:t>《</w:t>
            </w:r>
            <w:r>
              <w:rPr>
                <w:rFonts w:hint="eastAsia" w:ascii="宋体" w:hAnsi="宋体" w:eastAsia="宋体" w:cs="宋体"/>
                <w:bCs/>
                <w:color w:val="auto"/>
                <w:sz w:val="20"/>
                <w:szCs w:val="20"/>
                <w:lang w:val="en-US" w:eastAsia="zh-CN"/>
              </w:rPr>
              <w:t>国务院关于精减退职的老职工生活困难救济问题的通知</w:t>
            </w:r>
            <w:r>
              <w:rPr>
                <w:rFonts w:hint="eastAsia" w:ascii="宋体" w:hAnsi="宋体" w:eastAsia="宋体" w:cs="宋体"/>
                <w:bCs/>
                <w:color w:val="auto"/>
                <w:sz w:val="20"/>
                <w:szCs w:val="20"/>
                <w:lang w:eastAsia="zh-CN"/>
              </w:rPr>
              <w:t>》</w:t>
            </w:r>
            <w:r>
              <w:rPr>
                <w:rFonts w:hint="eastAsia" w:ascii="宋体" w:hAnsi="宋体" w:eastAsia="宋体" w:cs="宋体"/>
                <w:bCs/>
                <w:color w:val="auto"/>
                <w:sz w:val="20"/>
                <w:szCs w:val="20"/>
                <w:lang w:val="en-US" w:eastAsia="zh-CN"/>
              </w:rPr>
              <w:t>七.对</w:t>
            </w:r>
            <w:r>
              <w:rPr>
                <w:rFonts w:hint="eastAsia" w:ascii="宋体" w:hAnsi="宋体" w:eastAsia="宋体" w:cs="宋体"/>
                <w:bCs/>
                <w:color w:val="auto"/>
                <w:sz w:val="20"/>
                <w:szCs w:val="20"/>
              </w:rPr>
              <w:t>于从一九六一年到本通知下达之日期间精减退职的一九五七年年底以前参加工作的职工中，凡是不符合本通知第一条规定的身体条件而生活困难的，由民政部门给以社会救济，应使他们的生活不低于当地一般居民；职工本人的疾病医疗费用，如果本人负担确有困难的，民政部门可给予适当救济。</w:t>
            </w:r>
          </w:p>
        </w:tc>
        <w:tc>
          <w:tcPr>
            <w:tcW w:w="85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rPr>
            </w:pPr>
          </w:p>
        </w:tc>
      </w:tr>
    </w:tbl>
    <w:p>
      <w:pPr>
        <w:spacing w:beforeLines="50" w:afterLines="50"/>
        <w:jc w:val="both"/>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49"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83"/>
        <w:gridCol w:w="967"/>
        <w:gridCol w:w="900"/>
        <w:gridCol w:w="817"/>
        <w:gridCol w:w="3733"/>
        <w:gridCol w:w="2483"/>
        <w:gridCol w:w="2905"/>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50"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3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48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905"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29"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08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67"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3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48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905"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29"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0" w:hRule="atLeast"/>
        </w:trPr>
        <w:tc>
          <w:tcPr>
            <w:tcW w:w="1232"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FF0000"/>
                <w:sz w:val="20"/>
                <w:szCs w:val="20"/>
                <w:highlight w:val="none"/>
                <w:lang w:eastAsia="zh-CN"/>
              </w:rPr>
            </w:pPr>
            <w:r>
              <w:rPr>
                <w:rFonts w:ascii="微软雅黑" w:hAnsi="微软雅黑" w:eastAsia="微软雅黑" w:cs="微软雅黑"/>
                <w:i w:val="0"/>
                <w:iCs w:val="0"/>
                <w:caps w:val="0"/>
                <w:color w:val="FF0000"/>
                <w:spacing w:val="0"/>
                <w:sz w:val="21"/>
                <w:szCs w:val="21"/>
                <w:shd w:val="clear" w:fill="FFFFFF"/>
              </w:rPr>
              <w:t>0700-G-00700-140581</w:t>
            </w:r>
          </w:p>
        </w:tc>
        <w:tc>
          <w:tcPr>
            <w:tcW w:w="108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困难群众价格补贴、燃气补贴、困难群众慰问金给付</w:t>
            </w:r>
          </w:p>
        </w:tc>
        <w:tc>
          <w:tcPr>
            <w:tcW w:w="967"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90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17"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行政给付</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373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发展改革委、民政部、财政部、人力资源社会保障部、统计局《关于进一步完善社会救助保障标准与物价上涨挂钩联动机制的通知》（发改价格规〔2017〕1835号） 价格临时补贴实行“按月测算、按月发放”。达到启动条件的，要在锚定价格指数发布后及时启动联动机制，并确保在指数发布后20个工作日内完成价格临时补贴发放。</w:t>
            </w:r>
          </w:p>
        </w:tc>
        <w:tc>
          <w:tcPr>
            <w:tcW w:w="2483" w:type="dxa"/>
            <w:vAlign w:val="center"/>
          </w:tcPr>
          <w:p>
            <w:pPr>
              <w:keepNext w:val="0"/>
              <w:keepLines w:val="0"/>
              <w:pageBreakBefore w:val="0"/>
              <w:numPr>
                <w:ilvl w:val="0"/>
                <w:numId w:val="5"/>
              </w:numPr>
              <w:kinsoku/>
              <w:wordWrap/>
              <w:overflowPunct/>
              <w:topLinePunct w:val="0"/>
              <w:autoSpaceDE/>
              <w:autoSpaceDN/>
              <w:bidi w:val="0"/>
              <w:adjustRightInd/>
              <w:snapToGrid/>
              <w:spacing w:line="240" w:lineRule="exact"/>
              <w:ind w:left="90" w:leftChars="0" w:right="0" w:rightChars="0" w:firstLine="0" w:firstLineChars="0"/>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rPr>
              <w:t>受理责任：</w:t>
            </w:r>
            <w:r>
              <w:rPr>
                <w:rFonts w:hint="eastAsia" w:ascii="宋体" w:hAnsi="宋体" w:eastAsia="宋体" w:cs="宋体"/>
                <w:bCs/>
                <w:color w:val="auto"/>
                <w:sz w:val="20"/>
                <w:szCs w:val="20"/>
                <w:highlight w:val="none"/>
                <w:lang w:eastAsia="zh-CN"/>
              </w:rPr>
              <w:t>市民政局依据上级文件受理价格补贴发放事宜。</w:t>
            </w:r>
          </w:p>
          <w:p>
            <w:pPr>
              <w:keepNext w:val="0"/>
              <w:keepLines w:val="0"/>
              <w:pageBreakBefore w:val="0"/>
              <w:numPr>
                <w:ilvl w:val="0"/>
                <w:numId w:val="5"/>
              </w:numPr>
              <w:kinsoku/>
              <w:wordWrap/>
              <w:overflowPunct/>
              <w:topLinePunct w:val="0"/>
              <w:autoSpaceDE/>
              <w:autoSpaceDN/>
              <w:bidi w:val="0"/>
              <w:adjustRightInd/>
              <w:snapToGrid/>
              <w:spacing w:line="240" w:lineRule="exact"/>
              <w:ind w:left="90" w:leftChars="0" w:right="0" w:rightChars="0" w:firstLine="0" w:firstLineChars="0"/>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rPr>
              <w:t>审查责任：</w:t>
            </w:r>
            <w:r>
              <w:rPr>
                <w:rFonts w:hint="eastAsia" w:ascii="宋体" w:hAnsi="宋体" w:eastAsia="宋体" w:cs="宋体"/>
                <w:bCs/>
                <w:color w:val="auto"/>
                <w:sz w:val="20"/>
                <w:szCs w:val="20"/>
                <w:highlight w:val="none"/>
                <w:lang w:eastAsia="zh-CN"/>
              </w:rPr>
              <w:t>对价格补贴发放范围，依据上级文件精神进行严格确定。</w:t>
            </w:r>
          </w:p>
          <w:p>
            <w:pPr>
              <w:keepNext w:val="0"/>
              <w:keepLines w:val="0"/>
              <w:pageBreakBefore w:val="0"/>
              <w:numPr>
                <w:ilvl w:val="0"/>
                <w:numId w:val="0"/>
              </w:numPr>
              <w:kinsoku/>
              <w:wordWrap/>
              <w:overflowPunct/>
              <w:topLinePunct w:val="0"/>
              <w:autoSpaceDE/>
              <w:autoSpaceDN/>
              <w:bidi w:val="0"/>
              <w:adjustRightInd/>
              <w:snapToGrid/>
              <w:spacing w:line="240" w:lineRule="exact"/>
              <w:ind w:left="90" w:leftChars="0" w:right="0" w:rightChars="0"/>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3.决定责任：</w:t>
            </w:r>
            <w:r>
              <w:rPr>
                <w:rFonts w:hint="eastAsia" w:ascii="宋体" w:hAnsi="宋体" w:eastAsia="宋体" w:cs="宋体"/>
                <w:bCs/>
                <w:color w:val="auto"/>
                <w:sz w:val="20"/>
                <w:szCs w:val="20"/>
                <w:highlight w:val="none"/>
                <w:lang w:val="en-US" w:eastAsia="zh-CN"/>
              </w:rPr>
              <w:t>市民政局对符合价格补贴发放条件人员进行核定。</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rPr>
              <w:t xml:space="preserve"> 4.给付责任：</w:t>
            </w:r>
            <w:r>
              <w:rPr>
                <w:rFonts w:hint="eastAsia" w:ascii="宋体" w:hAnsi="宋体" w:eastAsia="宋体" w:cs="宋体"/>
                <w:bCs/>
                <w:color w:val="auto"/>
                <w:sz w:val="20"/>
                <w:szCs w:val="20"/>
                <w:highlight w:val="none"/>
                <w:lang w:val="en-US" w:eastAsia="zh-CN"/>
              </w:rPr>
              <w:t>及时为符合条件的人员发放价格补贴。</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 xml:space="preserve"> 5.事后监管责任：受理举报、投诉，及时核实、处理。 </w:t>
            </w:r>
          </w:p>
          <w:p>
            <w:pPr>
              <w:keepNext w:val="0"/>
              <w:keepLines w:val="0"/>
              <w:pageBreakBefore w:val="0"/>
              <w:kinsoku/>
              <w:wordWrap/>
              <w:overflowPunct/>
              <w:topLinePunct w:val="0"/>
              <w:autoSpaceDE/>
              <w:autoSpaceDN/>
              <w:bidi w:val="0"/>
              <w:adjustRightInd/>
              <w:snapToGrid/>
              <w:spacing w:line="240" w:lineRule="exact"/>
              <w:ind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rPr>
              <w:t>6.其他：法律法规规章规定应履行的责任</w:t>
            </w:r>
          </w:p>
        </w:tc>
        <w:tc>
          <w:tcPr>
            <w:tcW w:w="29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FF0000"/>
                <w:sz w:val="20"/>
                <w:szCs w:val="20"/>
                <w:highlight w:val="none"/>
              </w:rPr>
              <w:t>《关于进一步完善社会救助保障标准与物价上涨挂钩联动机制的通知》（发改价格规〔2017〕1835号） 价格临时补贴实行“按月测算、按月发放”。</w:t>
            </w:r>
            <w:r>
              <w:rPr>
                <w:rFonts w:hint="eastAsia" w:ascii="宋体" w:hAnsi="宋体" w:eastAsia="宋体" w:cs="宋体"/>
                <w:bCs/>
                <w:color w:val="FF0000"/>
                <w:sz w:val="20"/>
                <w:szCs w:val="20"/>
                <w:highlight w:val="none"/>
                <w:lang w:val="en-US" w:eastAsia="zh-CN"/>
              </w:rPr>
              <w:t>要高度重视价格补贴发放工作，严格执行补贴范围和要求，不得将不符合条件的列入补贴范围，严禁弄虚作假，对违规者严肃追责。</w:t>
            </w:r>
          </w:p>
        </w:tc>
        <w:tc>
          <w:tcPr>
            <w:tcW w:w="829"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49"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00"/>
        <w:gridCol w:w="950"/>
        <w:gridCol w:w="917"/>
        <w:gridCol w:w="783"/>
        <w:gridCol w:w="3750"/>
        <w:gridCol w:w="2500"/>
        <w:gridCol w:w="286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50"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78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5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86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00"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50"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78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5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86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232" w:type="dxa"/>
            <w:vAlign w:val="center"/>
          </w:tcPr>
          <w:p>
            <w:pPr>
              <w:keepNext w:val="0"/>
              <w:keepLines w:val="0"/>
              <w:pageBreakBefore w:val="0"/>
              <w:kinsoku/>
              <w:wordWrap/>
              <w:overflowPunct/>
              <w:topLinePunct w:val="0"/>
              <w:autoSpaceDE/>
              <w:autoSpaceDN/>
              <w:bidi w:val="0"/>
              <w:adjustRightInd/>
              <w:snapToGrid/>
              <w:spacing w:line="240" w:lineRule="exact"/>
              <w:ind w:right="0" w:rightChars="0"/>
              <w:jc w:val="both"/>
              <w:textAlignment w:val="auto"/>
              <w:rPr>
                <w:rFonts w:hint="default" w:ascii="宋体" w:hAnsi="宋体" w:eastAsia="宋体" w:cs="宋体"/>
                <w:bCs/>
                <w:color w:val="FF0000"/>
                <w:sz w:val="20"/>
                <w:szCs w:val="20"/>
                <w:highlight w:val="none"/>
                <w:lang w:val="en-US" w:eastAsia="zh-CN"/>
              </w:rPr>
            </w:pPr>
            <w:r>
              <w:rPr>
                <w:rFonts w:ascii="微软雅黑" w:hAnsi="微软雅黑" w:eastAsia="微软雅黑" w:cs="微软雅黑"/>
                <w:i w:val="0"/>
                <w:iCs w:val="0"/>
                <w:caps w:val="0"/>
                <w:color w:val="FF0000"/>
                <w:spacing w:val="0"/>
                <w:sz w:val="21"/>
                <w:szCs w:val="21"/>
                <w:shd w:val="clear" w:fill="FFFFFF"/>
              </w:rPr>
              <w:t>0700-G-00800-140581</w:t>
            </w:r>
          </w:p>
        </w:tc>
        <w:tc>
          <w:tcPr>
            <w:tcW w:w="11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right="0" w:rightChars="0" w:firstLine="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困难残疾人生活补贴和重度残疾人护理补贴</w:t>
            </w:r>
          </w:p>
        </w:tc>
        <w:tc>
          <w:tcPr>
            <w:tcW w:w="950" w:type="dxa"/>
            <w:vAlign w:val="center"/>
          </w:tcPr>
          <w:p>
            <w:pPr>
              <w:keepNext w:val="0"/>
              <w:keepLines w:val="0"/>
              <w:pageBreakBefore w:val="0"/>
              <w:kinsoku/>
              <w:wordWrap/>
              <w:overflowPunct/>
              <w:topLinePunct w:val="0"/>
              <w:autoSpaceDE/>
              <w:autoSpaceDN/>
              <w:bidi w:val="0"/>
              <w:adjustRightInd/>
              <w:snapToGrid/>
              <w:spacing w:line="240" w:lineRule="exact"/>
              <w:ind w:right="0" w:rightChars="0"/>
              <w:jc w:val="both"/>
              <w:textAlignment w:val="auto"/>
              <w:rPr>
                <w:rFonts w:hint="eastAsia" w:ascii="宋体" w:hAnsi="宋体" w:eastAsia="宋体" w:cs="宋体"/>
                <w:bCs/>
                <w:color w:val="auto"/>
                <w:sz w:val="20"/>
                <w:szCs w:val="20"/>
                <w:highlight w:val="none"/>
              </w:rPr>
            </w:pPr>
          </w:p>
        </w:tc>
        <w:tc>
          <w:tcPr>
            <w:tcW w:w="917" w:type="dxa"/>
            <w:vAlign w:val="center"/>
          </w:tcPr>
          <w:p>
            <w:pPr>
              <w:keepNext w:val="0"/>
              <w:keepLines w:val="0"/>
              <w:pageBreakBefore w:val="0"/>
              <w:kinsoku/>
              <w:wordWrap/>
              <w:overflowPunct/>
              <w:topLinePunct w:val="0"/>
              <w:autoSpaceDE/>
              <w:autoSpaceDN/>
              <w:bidi w:val="0"/>
              <w:adjustRightInd/>
              <w:snapToGrid/>
              <w:spacing w:line="240" w:lineRule="exact"/>
              <w:ind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783" w:type="dxa"/>
            <w:vAlign w:val="center"/>
          </w:tcPr>
          <w:p>
            <w:pPr>
              <w:keepNext w:val="0"/>
              <w:keepLines w:val="0"/>
              <w:pageBreakBefore w:val="0"/>
              <w:kinsoku/>
              <w:wordWrap/>
              <w:overflowPunct/>
              <w:topLinePunct w:val="0"/>
              <w:autoSpaceDE/>
              <w:autoSpaceDN/>
              <w:bidi w:val="0"/>
              <w:adjustRightInd/>
              <w:snapToGrid/>
              <w:spacing w:line="240" w:lineRule="exact"/>
              <w:ind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行政给付</w:t>
            </w:r>
          </w:p>
          <w:p>
            <w:pPr>
              <w:keepNext w:val="0"/>
              <w:keepLines w:val="0"/>
              <w:pageBreakBefore w:val="0"/>
              <w:kinsoku/>
              <w:wordWrap/>
              <w:overflowPunct/>
              <w:topLinePunct w:val="0"/>
              <w:autoSpaceDE/>
              <w:autoSpaceDN/>
              <w:bidi w:val="0"/>
              <w:adjustRightInd/>
              <w:snapToGrid/>
              <w:spacing w:line="240" w:lineRule="exact"/>
              <w:ind w:right="0" w:rightChars="0"/>
              <w:jc w:val="both"/>
              <w:textAlignment w:val="auto"/>
              <w:rPr>
                <w:rFonts w:hint="eastAsia" w:ascii="宋体" w:hAnsi="宋体" w:eastAsia="宋体" w:cs="宋体"/>
                <w:bCs/>
                <w:color w:val="auto"/>
                <w:sz w:val="20"/>
                <w:szCs w:val="20"/>
                <w:highlight w:val="none"/>
              </w:rPr>
            </w:pPr>
          </w:p>
        </w:tc>
        <w:tc>
          <w:tcPr>
            <w:tcW w:w="3750" w:type="dxa"/>
            <w:vAlign w:val="center"/>
          </w:tcPr>
          <w:p>
            <w:pPr>
              <w:keepNext w:val="0"/>
              <w:keepLines w:val="0"/>
              <w:pageBreakBefore w:val="0"/>
              <w:kinsoku/>
              <w:wordWrap/>
              <w:overflowPunct/>
              <w:topLinePunct w:val="0"/>
              <w:autoSpaceDE/>
              <w:autoSpaceDN/>
              <w:bidi w:val="0"/>
              <w:adjustRightInd/>
              <w:snapToGrid/>
              <w:spacing w:line="240" w:lineRule="exact"/>
              <w:ind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国务院关于全面建立困难残疾人生活补贴和重度残疾人护理补贴制度的意见》（国发〔2015〕52号）二、主要内容（一）补贴对象。困难残疾人生活补贴主要补助残疾人因残疾产生的额外生活支出，对象为低保家庭中的残疾人，有条件的地方可逐步扩大到低收入残疾人及其他困难残疾人。低收入残疾人及其他困难残疾人的认定标准由县级以上地方人民政府参照相关规定、结合实际情况制定。重度残疾人护理补贴主要补助残疾人因残疾产生的额外长期照护支出，对象为残疾等级被评定为一级、二级且需要长期照护的重度残疾人，有条件的地方可扩大到非重度智力、精神残疾人或其他残疾人，逐步推动形成面向所有需要长期照护残疾人的护理补贴制度。长期照护是指因残疾产生的特殊护理消费品和照护服务支出持续6个月以上时间。</w:t>
            </w:r>
          </w:p>
        </w:tc>
        <w:tc>
          <w:tcPr>
            <w:tcW w:w="2500" w:type="dxa"/>
            <w:vAlign w:val="center"/>
          </w:tcPr>
          <w:p>
            <w:pPr>
              <w:keepNext w:val="0"/>
              <w:keepLines w:val="0"/>
              <w:pageBreakBefore w:val="0"/>
              <w:numPr>
                <w:ilvl w:val="0"/>
                <w:numId w:val="6"/>
              </w:numPr>
              <w:kinsoku/>
              <w:wordWrap/>
              <w:overflowPunct/>
              <w:topLinePunct w:val="0"/>
              <w:autoSpaceDE/>
              <w:autoSpaceDN/>
              <w:bidi w:val="0"/>
              <w:adjustRightInd/>
              <w:snapToGrid/>
              <w:spacing w:line="240" w:lineRule="exact"/>
              <w:ind w:left="90" w:leftChars="0" w:right="0" w:rightChars="0" w:firstLine="0" w:firstLine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受理责任：</w:t>
            </w:r>
            <w:r>
              <w:rPr>
                <w:rFonts w:hint="eastAsia" w:ascii="宋体" w:hAnsi="宋体" w:eastAsia="宋体" w:cs="宋体"/>
                <w:bCs/>
                <w:color w:val="auto"/>
                <w:sz w:val="20"/>
                <w:szCs w:val="20"/>
                <w:highlight w:val="none"/>
                <w:lang w:eastAsia="zh-CN"/>
              </w:rPr>
              <w:t>符合条件的残疾人，可到</w:t>
            </w:r>
            <w:r>
              <w:rPr>
                <w:rFonts w:hint="eastAsia" w:ascii="宋体" w:hAnsi="宋体" w:eastAsia="宋体" w:cs="宋体"/>
                <w:bCs/>
                <w:color w:val="auto"/>
                <w:sz w:val="20"/>
                <w:szCs w:val="20"/>
                <w:highlight w:val="none"/>
              </w:rPr>
              <w:t>户籍所在地乡镇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）申请补贴并提供相关材料</w:t>
            </w:r>
            <w:r>
              <w:rPr>
                <w:rFonts w:hint="eastAsia" w:ascii="宋体" w:hAnsi="宋体" w:eastAsia="宋体" w:cs="宋体"/>
                <w:bCs/>
                <w:color w:val="auto"/>
                <w:sz w:val="20"/>
                <w:szCs w:val="20"/>
                <w:highlight w:val="none"/>
              </w:rPr>
              <w:t>。</w:t>
            </w:r>
          </w:p>
          <w:p>
            <w:pPr>
              <w:keepNext w:val="0"/>
              <w:keepLines w:val="0"/>
              <w:pageBreakBefore w:val="0"/>
              <w:numPr>
                <w:ilvl w:val="0"/>
                <w:numId w:val="6"/>
              </w:numPr>
              <w:kinsoku/>
              <w:wordWrap/>
              <w:overflowPunct/>
              <w:topLinePunct w:val="0"/>
              <w:autoSpaceDE/>
              <w:autoSpaceDN/>
              <w:bidi w:val="0"/>
              <w:adjustRightInd/>
              <w:snapToGrid/>
              <w:spacing w:line="240" w:lineRule="exact"/>
              <w:ind w:left="90" w:leftChars="0" w:right="0" w:rightChars="0" w:firstLine="0" w:firstLineChars="0"/>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rPr>
              <w:t>审查责任：乡镇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）政府接到申请人提交的申请资料后，要对申请人的情况进行审核，并在</w:t>
            </w:r>
            <w:r>
              <w:rPr>
                <w:rFonts w:hint="eastAsia" w:ascii="宋体" w:hAnsi="宋体" w:eastAsia="宋体" w:cs="宋体"/>
                <w:bCs/>
                <w:color w:val="auto"/>
                <w:sz w:val="20"/>
                <w:szCs w:val="20"/>
                <w:highlight w:val="none"/>
                <w:lang w:val="en-US" w:eastAsia="zh-CN"/>
              </w:rPr>
              <w:t>《晋城市困难残疾人生活补贴申请审批表》或《晋城市重度残疾人护理补贴申请审批表》上签署意见。</w:t>
            </w:r>
            <w:r>
              <w:rPr>
                <w:rFonts w:hint="eastAsia" w:ascii="宋体" w:hAnsi="宋体" w:eastAsia="宋体" w:cs="宋体"/>
                <w:bCs/>
                <w:color w:val="auto"/>
                <w:sz w:val="20"/>
                <w:szCs w:val="20"/>
                <w:highlight w:val="none"/>
                <w:lang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exact"/>
              <w:ind w:left="90" w:leftChars="0" w:right="0" w:rightChars="0"/>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3.决定责任：</w:t>
            </w:r>
            <w:r>
              <w:rPr>
                <w:rFonts w:hint="eastAsia" w:ascii="宋体" w:hAnsi="宋体" w:eastAsia="宋体" w:cs="宋体"/>
                <w:bCs/>
                <w:color w:val="auto"/>
                <w:sz w:val="20"/>
                <w:szCs w:val="20"/>
                <w:highlight w:val="none"/>
                <w:lang w:val="en-US" w:eastAsia="zh-CN"/>
              </w:rPr>
              <w:t>市民政局接到乡镇（街道）的申报资料后，应分别向同级人社局、残联等单位核实申请人信息。对符合条件的，在《晋城市困难残疾人生活补贴申请审批表》、《晋城市重度残疾人护理补贴申请审批表》上签署意见，对不符合条件的，市民政局将情况统一反馈至乡镇（街道）政府，乡镇（街道）政府通知申请人，并告知原因。</w:t>
            </w:r>
          </w:p>
          <w:p>
            <w:pPr>
              <w:keepNext w:val="0"/>
              <w:keepLines w:val="0"/>
              <w:pageBreakBefore w:val="0"/>
              <w:kinsoku/>
              <w:wordWrap/>
              <w:overflowPunct/>
              <w:topLinePunct w:val="0"/>
              <w:autoSpaceDE/>
              <w:autoSpaceDN/>
              <w:bidi w:val="0"/>
              <w:adjustRightInd/>
              <w:snapToGrid/>
              <w:spacing w:line="240" w:lineRule="exact"/>
              <w:ind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 xml:space="preserve"> 4.给付责任：</w:t>
            </w:r>
            <w:r>
              <w:rPr>
                <w:rFonts w:hint="eastAsia" w:ascii="宋体" w:hAnsi="宋体" w:eastAsia="宋体" w:cs="宋体"/>
                <w:bCs/>
                <w:color w:val="auto"/>
                <w:sz w:val="20"/>
                <w:szCs w:val="20"/>
                <w:highlight w:val="none"/>
                <w:lang w:val="en-US" w:eastAsia="zh-CN"/>
              </w:rPr>
              <w:t>及时为符合条件的残疾人发放补贴。</w:t>
            </w:r>
            <w:r>
              <w:rPr>
                <w:rFonts w:hint="eastAsia" w:ascii="宋体" w:hAnsi="宋体" w:eastAsia="宋体" w:cs="宋体"/>
                <w:bCs/>
                <w:color w:val="auto"/>
                <w:sz w:val="20"/>
                <w:szCs w:val="20"/>
                <w:highlight w:val="none"/>
              </w:rPr>
              <w:t xml:space="preserve"> </w:t>
            </w:r>
          </w:p>
          <w:p>
            <w:pPr>
              <w:keepNext w:val="0"/>
              <w:keepLines w:val="0"/>
              <w:pageBreakBefore w:val="0"/>
              <w:kinsoku/>
              <w:wordWrap/>
              <w:overflowPunct/>
              <w:topLinePunct w:val="0"/>
              <w:autoSpaceDE/>
              <w:autoSpaceDN/>
              <w:bidi w:val="0"/>
              <w:adjustRightInd/>
              <w:snapToGrid/>
              <w:spacing w:line="240" w:lineRule="exact"/>
              <w:ind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 xml:space="preserve">5.事后监管责任：受理举报、投诉，及时核实、处理。 </w:t>
            </w:r>
          </w:p>
          <w:p>
            <w:pPr>
              <w:keepNext w:val="0"/>
              <w:keepLines w:val="0"/>
              <w:pageBreakBefore w:val="0"/>
              <w:kinsoku/>
              <w:wordWrap/>
              <w:overflowPunct/>
              <w:topLinePunct w:val="0"/>
              <w:autoSpaceDE/>
              <w:autoSpaceDN/>
              <w:bidi w:val="0"/>
              <w:adjustRightInd/>
              <w:snapToGrid/>
              <w:spacing w:line="240" w:lineRule="exact"/>
              <w:ind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rPr>
              <w:t>6.其他：法律法规规章规定应履行的责任。</w:t>
            </w:r>
          </w:p>
        </w:tc>
        <w:tc>
          <w:tcPr>
            <w:tcW w:w="2867" w:type="dxa"/>
            <w:vAlign w:val="center"/>
          </w:tcPr>
          <w:p>
            <w:pPr>
              <w:keepNext w:val="0"/>
              <w:keepLines w:val="0"/>
              <w:pageBreakBefore w:val="0"/>
              <w:kinsoku/>
              <w:wordWrap/>
              <w:overflowPunct/>
              <w:topLinePunct w:val="0"/>
              <w:autoSpaceDE/>
              <w:autoSpaceDN/>
              <w:bidi w:val="0"/>
              <w:adjustRightInd/>
              <w:snapToGrid/>
              <w:spacing w:line="240" w:lineRule="exact"/>
              <w:ind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FF0000"/>
                <w:sz w:val="20"/>
                <w:szCs w:val="20"/>
                <w:highlight w:val="none"/>
              </w:rPr>
              <w:t>《</w:t>
            </w:r>
            <w:r>
              <w:rPr>
                <w:rFonts w:hint="eastAsia" w:ascii="宋体" w:hAnsi="宋体" w:eastAsia="宋体" w:cs="宋体"/>
                <w:bCs/>
                <w:color w:val="FF0000"/>
                <w:sz w:val="20"/>
                <w:szCs w:val="20"/>
                <w:highlight w:val="none"/>
                <w:lang w:eastAsia="zh-CN"/>
              </w:rPr>
              <w:t>关于贯彻落实困难残疾人生活补贴和重度残疾人护理补贴制度的实施办法</w:t>
            </w:r>
            <w:r>
              <w:rPr>
                <w:rFonts w:hint="eastAsia" w:ascii="宋体" w:hAnsi="宋体" w:eastAsia="宋体" w:cs="宋体"/>
                <w:bCs/>
                <w:color w:val="FF0000"/>
                <w:sz w:val="20"/>
                <w:szCs w:val="20"/>
                <w:highlight w:val="none"/>
              </w:rPr>
              <w:t>》（</w:t>
            </w:r>
            <w:r>
              <w:rPr>
                <w:rFonts w:hint="eastAsia" w:ascii="宋体" w:hAnsi="宋体" w:eastAsia="宋体" w:cs="宋体"/>
                <w:bCs/>
                <w:color w:val="FF0000"/>
                <w:sz w:val="20"/>
                <w:szCs w:val="20"/>
                <w:highlight w:val="none"/>
                <w:lang w:eastAsia="zh-CN"/>
              </w:rPr>
              <w:t>晋市民</w:t>
            </w:r>
            <w:r>
              <w:rPr>
                <w:rFonts w:hint="eastAsia" w:ascii="宋体" w:hAnsi="宋体" w:eastAsia="宋体" w:cs="宋体"/>
                <w:bCs/>
                <w:color w:val="FF0000"/>
                <w:sz w:val="20"/>
                <w:szCs w:val="20"/>
                <w:highlight w:val="none"/>
              </w:rPr>
              <w:t>〔201</w:t>
            </w:r>
            <w:r>
              <w:rPr>
                <w:rFonts w:hint="eastAsia" w:ascii="宋体" w:hAnsi="宋体" w:eastAsia="宋体" w:cs="宋体"/>
                <w:bCs/>
                <w:color w:val="FF0000"/>
                <w:sz w:val="20"/>
                <w:szCs w:val="20"/>
                <w:highlight w:val="none"/>
                <w:lang w:val="en-US" w:eastAsia="zh-CN"/>
              </w:rPr>
              <w:t>6</w:t>
            </w:r>
            <w:r>
              <w:rPr>
                <w:rFonts w:hint="eastAsia" w:ascii="宋体" w:hAnsi="宋体" w:eastAsia="宋体" w:cs="宋体"/>
                <w:bCs/>
                <w:color w:val="FF0000"/>
                <w:sz w:val="20"/>
                <w:szCs w:val="20"/>
                <w:highlight w:val="none"/>
              </w:rPr>
              <w:t>〕</w:t>
            </w:r>
            <w:r>
              <w:rPr>
                <w:rFonts w:hint="eastAsia" w:ascii="宋体" w:hAnsi="宋体" w:eastAsia="宋体" w:cs="宋体"/>
                <w:bCs/>
                <w:color w:val="FF0000"/>
                <w:sz w:val="20"/>
                <w:szCs w:val="20"/>
                <w:highlight w:val="none"/>
                <w:lang w:val="en-US" w:eastAsia="zh-CN"/>
              </w:rPr>
              <w:t>40</w:t>
            </w:r>
            <w:r>
              <w:rPr>
                <w:rFonts w:hint="eastAsia" w:ascii="宋体" w:hAnsi="宋体" w:eastAsia="宋体" w:cs="宋体"/>
                <w:bCs/>
                <w:color w:val="FF0000"/>
                <w:sz w:val="20"/>
                <w:szCs w:val="20"/>
                <w:highlight w:val="none"/>
              </w:rPr>
              <w:t>号）</w:t>
            </w:r>
            <w:r>
              <w:rPr>
                <w:rFonts w:hint="eastAsia" w:ascii="宋体" w:hAnsi="宋体" w:eastAsia="宋体" w:cs="宋体"/>
                <w:bCs/>
                <w:color w:val="FF0000"/>
                <w:sz w:val="20"/>
                <w:szCs w:val="20"/>
                <w:highlight w:val="none"/>
                <w:lang w:val="en-US" w:eastAsia="zh-CN"/>
              </w:rPr>
              <w:t>相关责任部门要高度重视残疾人两项补贴发放工作，严格执行补贴范围和要求，不得将不符合条件的列入补贴范围，严禁弄虚作假，对违规者严肃追责。</w:t>
            </w:r>
          </w:p>
        </w:tc>
        <w:tc>
          <w:tcPr>
            <w:tcW w:w="850" w:type="dxa"/>
            <w:vAlign w:val="center"/>
          </w:tcPr>
          <w:p>
            <w:pPr>
              <w:keepNext w:val="0"/>
              <w:keepLines w:val="0"/>
              <w:pageBreakBefore w:val="0"/>
              <w:kinsoku/>
              <w:wordWrap/>
              <w:overflowPunct/>
              <w:topLinePunct w:val="0"/>
              <w:autoSpaceDE/>
              <w:autoSpaceDN/>
              <w:bidi w:val="0"/>
              <w:adjustRightInd/>
              <w:snapToGrid/>
              <w:spacing w:line="240" w:lineRule="exact"/>
              <w:ind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both"/>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32"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97"/>
        <w:gridCol w:w="953"/>
        <w:gridCol w:w="900"/>
        <w:gridCol w:w="800"/>
        <w:gridCol w:w="3750"/>
        <w:gridCol w:w="2500"/>
        <w:gridCol w:w="2883"/>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50"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5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88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097"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5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5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88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0" w:hRule="atLeast"/>
        </w:trPr>
        <w:tc>
          <w:tcPr>
            <w:tcW w:w="1232"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FF0000"/>
                <w:sz w:val="20"/>
                <w:szCs w:val="20"/>
                <w:highlight w:val="none"/>
              </w:rPr>
            </w:pPr>
            <w:r>
              <w:rPr>
                <w:rFonts w:ascii="微软雅黑" w:hAnsi="微软雅黑" w:eastAsia="微软雅黑" w:cs="微软雅黑"/>
                <w:i w:val="0"/>
                <w:iCs w:val="0"/>
                <w:caps w:val="0"/>
                <w:color w:val="FF0000"/>
                <w:spacing w:val="0"/>
                <w:sz w:val="21"/>
                <w:szCs w:val="21"/>
                <w:shd w:val="clear" w:fill="FFFFFF"/>
              </w:rPr>
              <w:t>0700-G-00</w:t>
            </w:r>
            <w:r>
              <w:rPr>
                <w:rFonts w:hint="eastAsia" w:ascii="微软雅黑" w:hAnsi="微软雅黑" w:eastAsia="微软雅黑" w:cs="微软雅黑"/>
                <w:i w:val="0"/>
                <w:iCs w:val="0"/>
                <w:caps w:val="0"/>
                <w:color w:val="FF0000"/>
                <w:spacing w:val="0"/>
                <w:sz w:val="21"/>
                <w:szCs w:val="21"/>
                <w:shd w:val="clear" w:fill="FFFFFF"/>
                <w:lang w:val="en-US" w:eastAsia="zh-CN"/>
              </w:rPr>
              <w:t>9</w:t>
            </w:r>
            <w:r>
              <w:rPr>
                <w:rFonts w:ascii="微软雅黑" w:hAnsi="微软雅黑" w:eastAsia="微软雅黑" w:cs="微软雅黑"/>
                <w:i w:val="0"/>
                <w:iCs w:val="0"/>
                <w:caps w:val="0"/>
                <w:color w:val="FF0000"/>
                <w:spacing w:val="0"/>
                <w:sz w:val="21"/>
                <w:szCs w:val="21"/>
                <w:shd w:val="clear" w:fill="FFFFFF"/>
              </w:rPr>
              <w:t>00-140581</w:t>
            </w:r>
          </w:p>
        </w:tc>
        <w:tc>
          <w:tcPr>
            <w:tcW w:w="109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jc w:val="both"/>
              <w:textAlignment w:val="auto"/>
              <w:rPr>
                <w:rFonts w:hint="eastAsia" w:ascii="宋体" w:hAnsi="宋体" w:eastAsia="宋体" w:cs="宋体"/>
                <w:bCs/>
                <w:color w:val="auto"/>
                <w:sz w:val="20"/>
                <w:szCs w:val="20"/>
                <w:highlight w:val="none"/>
              </w:rPr>
            </w:pP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kern w:val="2"/>
                <w:sz w:val="20"/>
                <w:szCs w:val="20"/>
                <w:highlight w:val="none"/>
                <w:lang w:val="en-US" w:eastAsia="zh-CN" w:bidi="ar-SA"/>
              </w:rPr>
            </w:pP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sz w:val="20"/>
                <w:szCs w:val="20"/>
                <w:highlight w:val="none"/>
                <w:lang w:val="en-US" w:eastAsia="zh-CN"/>
              </w:rPr>
            </w:pP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老年人福利补贴</w:t>
            </w:r>
          </w:p>
        </w:tc>
        <w:tc>
          <w:tcPr>
            <w:tcW w:w="95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90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0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行政给付</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375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《中华人民共和国老年人权益保障法》（主席令第72号）</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第三十三条：国家建立和完善老年人福利制度，根据经济社会发展水平和老年人的实际需要，增加老年人的社会福利。国家鼓励地方建立八十周岁以上低收入老年人高龄津贴制度。</w:t>
            </w:r>
          </w:p>
        </w:tc>
        <w:tc>
          <w:tcPr>
            <w:tcW w:w="2500" w:type="dxa"/>
            <w:vAlign w:val="center"/>
          </w:tcPr>
          <w:p>
            <w:pPr>
              <w:keepNext w:val="0"/>
              <w:keepLines w:val="0"/>
              <w:pageBreakBefore w:val="0"/>
              <w:numPr>
                <w:ilvl w:val="0"/>
                <w:numId w:val="7"/>
              </w:numPr>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受理责任：</w:t>
            </w:r>
            <w:r>
              <w:rPr>
                <w:rFonts w:hint="eastAsia" w:ascii="宋体" w:hAnsi="宋体" w:eastAsia="宋体" w:cs="宋体"/>
                <w:bCs/>
                <w:color w:val="auto"/>
                <w:sz w:val="20"/>
                <w:szCs w:val="20"/>
                <w:highlight w:val="none"/>
                <w:lang w:eastAsia="zh-CN"/>
              </w:rPr>
              <w:t>符合条件的老年人，可到</w:t>
            </w:r>
            <w:r>
              <w:rPr>
                <w:rFonts w:hint="eastAsia" w:ascii="宋体" w:hAnsi="宋体" w:eastAsia="宋体" w:cs="宋体"/>
                <w:bCs/>
                <w:color w:val="auto"/>
                <w:sz w:val="20"/>
                <w:szCs w:val="20"/>
                <w:highlight w:val="none"/>
              </w:rPr>
              <w:t>户籍所在地乡镇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）申请补贴并提供相关材料</w:t>
            </w:r>
            <w:r>
              <w:rPr>
                <w:rFonts w:hint="eastAsia" w:ascii="宋体" w:hAnsi="宋体" w:eastAsia="宋体" w:cs="宋体"/>
                <w:bCs/>
                <w:color w:val="auto"/>
                <w:sz w:val="20"/>
                <w:szCs w:val="20"/>
                <w:highlight w:val="none"/>
              </w:rPr>
              <w:t>。</w:t>
            </w:r>
          </w:p>
          <w:p>
            <w:pPr>
              <w:keepNext w:val="0"/>
              <w:keepLines w:val="0"/>
              <w:pageBreakBefore w:val="0"/>
              <w:numPr>
                <w:ilvl w:val="0"/>
                <w:numId w:val="7"/>
              </w:numPr>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rPr>
              <w:t>2.审查责任：乡镇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 xml:space="preserve">）政府接到申请人提交的申请资料后，要对申请人的情况进行审核。 </w:t>
            </w:r>
          </w:p>
          <w:p>
            <w:pPr>
              <w:keepNext w:val="0"/>
              <w:keepLines w:val="0"/>
              <w:pageBreakBefore w:val="0"/>
              <w:numPr>
                <w:ilvl w:val="0"/>
                <w:numId w:val="7"/>
              </w:numPr>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eastAsia="zh-CN"/>
              </w:rPr>
              <w:t>3.决定责任：</w:t>
            </w:r>
            <w:r>
              <w:rPr>
                <w:rFonts w:hint="eastAsia" w:ascii="宋体" w:hAnsi="宋体" w:eastAsia="宋体" w:cs="宋体"/>
                <w:bCs/>
                <w:color w:val="auto"/>
                <w:sz w:val="20"/>
                <w:szCs w:val="20"/>
                <w:highlight w:val="none"/>
                <w:lang w:val="en-US" w:eastAsia="zh-CN"/>
              </w:rPr>
              <w:t>市民政局接到乡镇（街道）的申报资料后，经过复核，在10个工作日内进行核准，不符合条件的告知乡镇（街道）。</w:t>
            </w:r>
          </w:p>
          <w:p>
            <w:pPr>
              <w:keepNext w:val="0"/>
              <w:keepLines w:val="0"/>
              <w:pageBreakBefore w:val="0"/>
              <w:numPr>
                <w:ilvl w:val="0"/>
                <w:numId w:val="7"/>
              </w:numPr>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rPr>
              <w:t>给付责任：</w:t>
            </w:r>
            <w:r>
              <w:rPr>
                <w:rFonts w:hint="eastAsia" w:ascii="宋体" w:hAnsi="宋体" w:eastAsia="宋体" w:cs="宋体"/>
                <w:bCs/>
                <w:color w:val="auto"/>
                <w:sz w:val="20"/>
                <w:szCs w:val="20"/>
                <w:highlight w:val="none"/>
                <w:lang w:val="en-US" w:eastAsia="zh-CN"/>
              </w:rPr>
              <w:t>及时为符合条件的老年发放补贴。</w:t>
            </w:r>
            <w:r>
              <w:rPr>
                <w:rFonts w:hint="eastAsia" w:ascii="宋体" w:hAnsi="宋体" w:eastAsia="宋体" w:cs="宋体"/>
                <w:bCs/>
                <w:color w:val="auto"/>
                <w:sz w:val="20"/>
                <w:szCs w:val="20"/>
                <w:highlight w:val="none"/>
              </w:rPr>
              <w:t xml:space="preserve"> </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5.</w:t>
            </w:r>
            <w:r>
              <w:rPr>
                <w:rFonts w:hint="eastAsia" w:ascii="宋体" w:hAnsi="宋体" w:eastAsia="宋体" w:cs="宋体"/>
                <w:bCs/>
                <w:color w:val="auto"/>
                <w:sz w:val="20"/>
                <w:szCs w:val="20"/>
                <w:highlight w:val="none"/>
              </w:rPr>
              <w:t xml:space="preserve">事后监管责任：受理举报、投诉，及时核实、处理。 </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rPr>
              <w:t>6.其他：法律法规规章规定应履行的责任。</w:t>
            </w:r>
          </w:p>
        </w:tc>
        <w:tc>
          <w:tcPr>
            <w:tcW w:w="288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FF0000"/>
                <w:sz w:val="20"/>
                <w:szCs w:val="20"/>
                <w:highlight w:val="none"/>
              </w:rPr>
              <w:t>《</w:t>
            </w:r>
            <w:r>
              <w:rPr>
                <w:rFonts w:hint="eastAsia" w:ascii="宋体" w:hAnsi="宋体" w:eastAsia="宋体" w:cs="宋体"/>
                <w:bCs/>
                <w:color w:val="FF0000"/>
                <w:sz w:val="20"/>
                <w:szCs w:val="20"/>
                <w:highlight w:val="none"/>
                <w:lang w:eastAsia="zh-CN"/>
              </w:rPr>
              <w:t>关于贯彻落实经济困难的高龄与失能老年人补贴制度及提高百岁以上老年人补贴标准工作的实施方案</w:t>
            </w:r>
            <w:r>
              <w:rPr>
                <w:rFonts w:hint="eastAsia" w:ascii="宋体" w:hAnsi="宋体" w:eastAsia="宋体" w:cs="宋体"/>
                <w:bCs/>
                <w:color w:val="FF0000"/>
                <w:sz w:val="20"/>
                <w:szCs w:val="20"/>
                <w:highlight w:val="none"/>
              </w:rPr>
              <w:t>》（</w:t>
            </w:r>
            <w:r>
              <w:rPr>
                <w:rFonts w:hint="eastAsia" w:ascii="宋体" w:hAnsi="宋体" w:eastAsia="宋体" w:cs="宋体"/>
                <w:bCs/>
                <w:color w:val="FF0000"/>
                <w:sz w:val="20"/>
                <w:szCs w:val="20"/>
                <w:highlight w:val="none"/>
                <w:lang w:eastAsia="zh-CN"/>
              </w:rPr>
              <w:t>晋市民</w:t>
            </w:r>
            <w:r>
              <w:rPr>
                <w:rFonts w:hint="eastAsia" w:ascii="宋体" w:hAnsi="宋体" w:eastAsia="宋体" w:cs="宋体"/>
                <w:bCs/>
                <w:color w:val="FF0000"/>
                <w:sz w:val="20"/>
                <w:szCs w:val="20"/>
                <w:highlight w:val="none"/>
              </w:rPr>
              <w:t>〔201</w:t>
            </w:r>
            <w:r>
              <w:rPr>
                <w:rFonts w:hint="eastAsia" w:ascii="宋体" w:hAnsi="宋体" w:eastAsia="宋体" w:cs="宋体"/>
                <w:bCs/>
                <w:color w:val="FF0000"/>
                <w:sz w:val="20"/>
                <w:szCs w:val="20"/>
                <w:highlight w:val="none"/>
                <w:lang w:val="en-US" w:eastAsia="zh-CN"/>
              </w:rPr>
              <w:t>6</w:t>
            </w:r>
            <w:r>
              <w:rPr>
                <w:rFonts w:hint="eastAsia" w:ascii="宋体" w:hAnsi="宋体" w:eastAsia="宋体" w:cs="宋体"/>
                <w:bCs/>
                <w:color w:val="FF0000"/>
                <w:sz w:val="20"/>
                <w:szCs w:val="20"/>
                <w:highlight w:val="none"/>
              </w:rPr>
              <w:t>〕</w:t>
            </w:r>
            <w:r>
              <w:rPr>
                <w:rFonts w:hint="eastAsia" w:ascii="宋体" w:hAnsi="宋体" w:eastAsia="宋体" w:cs="宋体"/>
                <w:bCs/>
                <w:color w:val="FF0000"/>
                <w:sz w:val="20"/>
                <w:szCs w:val="20"/>
                <w:highlight w:val="none"/>
                <w:lang w:val="en-US" w:eastAsia="zh-CN"/>
              </w:rPr>
              <w:t>53</w:t>
            </w:r>
            <w:r>
              <w:rPr>
                <w:rFonts w:hint="eastAsia" w:ascii="宋体" w:hAnsi="宋体" w:eastAsia="宋体" w:cs="宋体"/>
                <w:bCs/>
                <w:color w:val="FF0000"/>
                <w:sz w:val="20"/>
                <w:szCs w:val="20"/>
                <w:highlight w:val="none"/>
              </w:rPr>
              <w:t>号）</w:t>
            </w:r>
            <w:r>
              <w:rPr>
                <w:rFonts w:hint="eastAsia" w:ascii="宋体" w:hAnsi="宋体" w:eastAsia="宋体" w:cs="宋体"/>
                <w:bCs/>
                <w:color w:val="FF0000"/>
                <w:sz w:val="20"/>
                <w:szCs w:val="20"/>
                <w:highlight w:val="none"/>
                <w:lang w:val="en-US" w:eastAsia="zh-CN"/>
              </w:rPr>
              <w:t>相关职能部门要高度重视老年人两项补贴发放工作，严格执行补贴范围和要求，认真评估，加强审核，不得将不符合条件的列入补贴范围，严禁弄虚作假，对违规者严肃追责。</w:t>
            </w:r>
          </w:p>
        </w:tc>
        <w:tc>
          <w:tcPr>
            <w:tcW w:w="817"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32"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100"/>
        <w:gridCol w:w="967"/>
        <w:gridCol w:w="900"/>
        <w:gridCol w:w="817"/>
        <w:gridCol w:w="3733"/>
        <w:gridCol w:w="2483"/>
        <w:gridCol w:w="2905"/>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5"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67"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3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48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905"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1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5"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00"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67"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3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48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905"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1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121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ascii="微软雅黑" w:hAnsi="微软雅黑" w:eastAsia="微软雅黑" w:cs="微软雅黑"/>
                <w:i w:val="0"/>
                <w:iCs w:val="0"/>
                <w:caps w:val="0"/>
                <w:color w:val="auto"/>
                <w:spacing w:val="0"/>
                <w:sz w:val="21"/>
                <w:szCs w:val="21"/>
                <w:shd w:val="clear" w:fill="FFFFFF"/>
              </w:rPr>
              <w:t>0700-F-00500-140581</w:t>
            </w:r>
          </w:p>
        </w:tc>
        <w:tc>
          <w:tcPr>
            <w:tcW w:w="11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撤销中国公民收养登记</w:t>
            </w:r>
          </w:p>
        </w:tc>
        <w:tc>
          <w:tcPr>
            <w:tcW w:w="967"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90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17"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行政确认</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373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【行政法规】《中国公民收养子女登记办法》(民政部令第14号）</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第十二条 收养关系当事人弄虚作假骗取收养登记的，收养关系无效，由收养登记机关撤销登记，收缴收养登记证。</w:t>
            </w:r>
          </w:p>
        </w:tc>
        <w:tc>
          <w:tcPr>
            <w:tcW w:w="248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1.受理责任：</w:t>
            </w:r>
            <w:r>
              <w:rPr>
                <w:rFonts w:hint="eastAsia" w:ascii="宋体" w:hAnsi="宋体" w:eastAsia="宋体" w:cs="宋体"/>
                <w:bCs/>
                <w:color w:val="auto"/>
                <w:sz w:val="20"/>
                <w:szCs w:val="20"/>
                <w:highlight w:val="none"/>
                <w:lang w:eastAsia="zh-CN"/>
              </w:rPr>
              <w:t>市民政局受理收养关系当事人提交的材料。</w:t>
            </w:r>
            <w:r>
              <w:rPr>
                <w:rFonts w:hint="eastAsia" w:ascii="宋体" w:hAnsi="宋体" w:eastAsia="宋体" w:cs="宋体"/>
                <w:bCs/>
                <w:color w:val="auto"/>
                <w:sz w:val="20"/>
                <w:szCs w:val="20"/>
                <w:highlight w:val="none"/>
              </w:rPr>
              <w:t xml:space="preserve"> </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2.审查责任：</w:t>
            </w:r>
            <w:r>
              <w:rPr>
                <w:rFonts w:hint="eastAsia" w:ascii="宋体" w:hAnsi="宋体" w:eastAsia="宋体" w:cs="宋体"/>
                <w:bCs/>
                <w:color w:val="auto"/>
                <w:sz w:val="20"/>
                <w:szCs w:val="20"/>
                <w:highlight w:val="none"/>
                <w:lang w:eastAsia="zh-CN"/>
              </w:rPr>
              <w:t>市民政局</w:t>
            </w:r>
            <w:r>
              <w:rPr>
                <w:rFonts w:hint="eastAsia" w:ascii="宋体" w:hAnsi="宋体" w:eastAsia="宋体" w:cs="宋体"/>
                <w:bCs/>
                <w:color w:val="auto"/>
                <w:sz w:val="20"/>
                <w:szCs w:val="20"/>
                <w:highlight w:val="none"/>
              </w:rPr>
              <w:t xml:space="preserve">对申请人提交的材料内容进行真实性审查。 </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3.决定责任：</w:t>
            </w:r>
            <w:r>
              <w:rPr>
                <w:rFonts w:hint="eastAsia" w:ascii="宋体" w:hAnsi="宋体" w:eastAsia="宋体" w:cs="宋体"/>
                <w:bCs/>
                <w:color w:val="auto"/>
                <w:sz w:val="20"/>
                <w:szCs w:val="20"/>
                <w:highlight w:val="none"/>
                <w:lang w:eastAsia="zh-CN"/>
              </w:rPr>
              <w:t>对符合收养条件且</w:t>
            </w:r>
            <w:r>
              <w:rPr>
                <w:rFonts w:hint="eastAsia" w:ascii="宋体" w:hAnsi="宋体" w:eastAsia="宋体" w:cs="宋体"/>
                <w:bCs/>
                <w:color w:val="auto"/>
                <w:sz w:val="20"/>
                <w:szCs w:val="20"/>
                <w:highlight w:val="none"/>
              </w:rPr>
              <w:t>材料齐备的，予以受理。</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4.撤销登记：</w:t>
            </w:r>
            <w:r>
              <w:rPr>
                <w:rFonts w:hint="eastAsia" w:ascii="宋体" w:hAnsi="宋体" w:eastAsia="宋体" w:cs="宋体"/>
                <w:bCs/>
                <w:color w:val="auto"/>
                <w:sz w:val="20"/>
                <w:szCs w:val="20"/>
                <w:highlight w:val="none"/>
                <w:lang w:eastAsia="zh-CN"/>
              </w:rPr>
              <w:t>若发现</w:t>
            </w:r>
            <w:r>
              <w:rPr>
                <w:rFonts w:hint="eastAsia" w:ascii="宋体" w:hAnsi="宋体" w:eastAsia="宋体" w:cs="宋体"/>
                <w:bCs/>
                <w:color w:val="auto"/>
                <w:sz w:val="20"/>
                <w:szCs w:val="20"/>
                <w:highlight w:val="none"/>
              </w:rPr>
              <w:t>当事人弄虚作假骗取收养登记的，</w:t>
            </w:r>
            <w:r>
              <w:rPr>
                <w:rFonts w:hint="eastAsia" w:ascii="宋体" w:hAnsi="宋体" w:eastAsia="宋体" w:cs="宋体"/>
                <w:bCs/>
                <w:color w:val="auto"/>
                <w:sz w:val="20"/>
                <w:szCs w:val="20"/>
                <w:highlight w:val="none"/>
                <w:lang w:eastAsia="zh-CN"/>
              </w:rPr>
              <w:t>市民政局</w:t>
            </w:r>
            <w:r>
              <w:rPr>
                <w:rFonts w:hint="eastAsia" w:ascii="宋体" w:hAnsi="宋体" w:eastAsia="宋体" w:cs="宋体"/>
                <w:bCs/>
                <w:color w:val="auto"/>
                <w:sz w:val="20"/>
                <w:szCs w:val="20"/>
                <w:highlight w:val="none"/>
              </w:rPr>
              <w:t>撤销登记</w:t>
            </w:r>
            <w:r>
              <w:rPr>
                <w:rFonts w:hint="eastAsia" w:ascii="宋体" w:hAnsi="宋体" w:eastAsia="宋体" w:cs="宋体"/>
                <w:bCs/>
                <w:color w:val="auto"/>
                <w:sz w:val="20"/>
                <w:szCs w:val="20"/>
                <w:highlight w:val="none"/>
                <w:lang w:eastAsia="zh-CN"/>
              </w:rPr>
              <w:t>并</w:t>
            </w:r>
            <w:r>
              <w:rPr>
                <w:rFonts w:hint="eastAsia" w:ascii="宋体" w:hAnsi="宋体" w:eastAsia="宋体" w:cs="宋体"/>
                <w:bCs/>
                <w:color w:val="auto"/>
                <w:sz w:val="20"/>
                <w:szCs w:val="20"/>
                <w:highlight w:val="none"/>
              </w:rPr>
              <w:t>收缴收养登记证。</w:t>
            </w:r>
          </w:p>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5</w:t>
            </w:r>
            <w:r>
              <w:rPr>
                <w:rFonts w:hint="eastAsia" w:ascii="宋体" w:hAnsi="宋体" w:eastAsia="宋体" w:cs="宋体"/>
                <w:bCs/>
                <w:color w:val="auto"/>
                <w:sz w:val="20"/>
                <w:szCs w:val="20"/>
                <w:highlight w:val="none"/>
              </w:rPr>
              <w:t>.其他：法律法规规章规定应履行的责任。</w:t>
            </w:r>
          </w:p>
        </w:tc>
        <w:tc>
          <w:tcPr>
            <w:tcW w:w="2905"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i w:val="0"/>
                <w:iCs w:val="0"/>
                <w:caps w:val="0"/>
                <w:color w:val="333333"/>
                <w:spacing w:val="0"/>
                <w:sz w:val="20"/>
                <w:szCs w:val="20"/>
                <w:highlight w:val="none"/>
                <w:shd w:val="clear" w:fill="FFFFFF"/>
              </w:rPr>
              <w:t>《</w:t>
            </w:r>
            <w:r>
              <w:rPr>
                <w:rFonts w:hint="eastAsia" w:ascii="宋体" w:hAnsi="宋体" w:eastAsia="宋体" w:cs="宋体"/>
                <w:bCs/>
                <w:color w:val="auto"/>
                <w:sz w:val="20"/>
                <w:szCs w:val="20"/>
                <w:highlight w:val="none"/>
                <w:lang w:val="en-US" w:eastAsia="zh-CN"/>
              </w:rPr>
              <w:t>民政部关于印发＜收养登记工作规范＞的通知》(民发〔2008〕118号)第四十八条　收养登记机关及其收养登记员有下列行为之一的，对直接负责的主管人员和其他直接责任人员依法给予行政处分：</w:t>
            </w:r>
            <w:r>
              <w:rPr>
                <w:rFonts w:hint="eastAsia" w:ascii="宋体" w:hAnsi="宋体" w:eastAsia="宋体" w:cs="宋体"/>
                <w:bCs/>
                <w:color w:val="auto"/>
                <w:sz w:val="20"/>
                <w:szCs w:val="20"/>
                <w:highlight w:val="none"/>
                <w:lang w:val="en-US" w:eastAsia="zh-CN"/>
              </w:rPr>
              <w:br w:type="textWrapping"/>
            </w:r>
            <w:r>
              <w:rPr>
                <w:rFonts w:hint="eastAsia" w:ascii="宋体" w:hAnsi="宋体" w:eastAsia="宋体" w:cs="宋体"/>
                <w:bCs/>
                <w:color w:val="auto"/>
                <w:sz w:val="20"/>
                <w:szCs w:val="20"/>
                <w:highlight w:val="none"/>
                <w:lang w:val="en-US" w:eastAsia="zh-CN"/>
              </w:rPr>
              <w:t>　　（一）为不符合收养登记条件的当事人办理收养登记的；</w:t>
            </w:r>
            <w:r>
              <w:rPr>
                <w:rFonts w:hint="eastAsia" w:ascii="宋体" w:hAnsi="宋体" w:eastAsia="宋体" w:cs="宋体"/>
                <w:bCs/>
                <w:color w:val="auto"/>
                <w:sz w:val="20"/>
                <w:szCs w:val="20"/>
                <w:highlight w:val="none"/>
                <w:lang w:val="en-US" w:eastAsia="zh-CN"/>
              </w:rPr>
              <w:br w:type="textWrapping"/>
            </w:r>
            <w:r>
              <w:rPr>
                <w:rFonts w:hint="eastAsia" w:ascii="宋体" w:hAnsi="宋体" w:eastAsia="宋体" w:cs="宋体"/>
                <w:bCs/>
                <w:color w:val="auto"/>
                <w:sz w:val="20"/>
                <w:szCs w:val="20"/>
                <w:highlight w:val="none"/>
                <w:lang w:val="en-US" w:eastAsia="zh-CN"/>
              </w:rPr>
              <w:t>　　（二）依法应当予以登记而不予登记的；</w:t>
            </w:r>
            <w:r>
              <w:rPr>
                <w:rFonts w:hint="eastAsia" w:ascii="宋体" w:hAnsi="宋体" w:eastAsia="宋体" w:cs="宋体"/>
                <w:bCs/>
                <w:color w:val="auto"/>
                <w:sz w:val="20"/>
                <w:szCs w:val="20"/>
                <w:highlight w:val="none"/>
                <w:lang w:val="en-US" w:eastAsia="zh-CN"/>
              </w:rPr>
              <w:br w:type="textWrapping"/>
            </w:r>
            <w:r>
              <w:rPr>
                <w:rFonts w:hint="eastAsia" w:ascii="宋体" w:hAnsi="宋体" w:eastAsia="宋体" w:cs="宋体"/>
                <w:bCs/>
                <w:color w:val="auto"/>
                <w:sz w:val="20"/>
                <w:szCs w:val="20"/>
                <w:highlight w:val="none"/>
                <w:lang w:val="en-US" w:eastAsia="zh-CN"/>
              </w:rPr>
              <w:t>　　（三）违反程序规定办理收养登记、解除收养关系登记、撤销收养登记及其他证明的；</w:t>
            </w:r>
            <w:r>
              <w:rPr>
                <w:rFonts w:hint="eastAsia" w:ascii="宋体" w:hAnsi="宋体" w:eastAsia="宋体" w:cs="宋体"/>
                <w:bCs/>
                <w:color w:val="auto"/>
                <w:sz w:val="20"/>
                <w:szCs w:val="20"/>
                <w:highlight w:val="none"/>
                <w:lang w:val="en-US" w:eastAsia="zh-CN"/>
              </w:rPr>
              <w:br w:type="textWrapping"/>
            </w:r>
            <w:r>
              <w:rPr>
                <w:rFonts w:hint="eastAsia" w:ascii="宋体" w:hAnsi="宋体" w:eastAsia="宋体" w:cs="宋体"/>
                <w:bCs/>
                <w:color w:val="auto"/>
                <w:sz w:val="20"/>
                <w:szCs w:val="20"/>
                <w:highlight w:val="none"/>
                <w:lang w:val="en-US" w:eastAsia="zh-CN"/>
              </w:rPr>
              <w:t>　　（四）要求当事人提交《中华人民共和国收养法》、《中国公民收养子女登记办法》、《华侨以及居住在香港、澳门、台湾地区的中国公民办理收养登记的管辖以及所需要出具的证件和证明材料的规定》、《外国人在中华人民共和国收养子女登记办法》和本规范规定以外的证件和证明材料的；</w:t>
            </w:r>
            <w:r>
              <w:rPr>
                <w:rFonts w:hint="eastAsia" w:ascii="宋体" w:hAnsi="宋体" w:eastAsia="宋体" w:cs="宋体"/>
                <w:bCs/>
                <w:color w:val="auto"/>
                <w:sz w:val="20"/>
                <w:szCs w:val="20"/>
                <w:highlight w:val="none"/>
                <w:lang w:val="en-US" w:eastAsia="zh-CN"/>
              </w:rPr>
              <w:br w:type="textWrapping"/>
            </w:r>
            <w:r>
              <w:rPr>
                <w:rFonts w:hint="eastAsia" w:ascii="宋体" w:hAnsi="宋体" w:eastAsia="宋体" w:cs="宋体"/>
                <w:bCs/>
                <w:color w:val="auto"/>
                <w:sz w:val="20"/>
                <w:szCs w:val="20"/>
                <w:highlight w:val="none"/>
                <w:lang w:val="en-US" w:eastAsia="zh-CN"/>
              </w:rPr>
              <w:t>　　（五）擅自提高收费标准、增加收费项目或者不使用规定收费票据的；</w:t>
            </w:r>
            <w:r>
              <w:rPr>
                <w:rFonts w:hint="eastAsia" w:ascii="宋体" w:hAnsi="宋体" w:eastAsia="宋体" w:cs="宋体"/>
                <w:bCs/>
                <w:color w:val="auto"/>
                <w:sz w:val="20"/>
                <w:szCs w:val="20"/>
                <w:highlight w:val="none"/>
                <w:lang w:val="en-US" w:eastAsia="zh-CN"/>
              </w:rPr>
              <w:br w:type="textWrapping"/>
            </w:r>
            <w:r>
              <w:rPr>
                <w:rFonts w:hint="eastAsia" w:ascii="宋体" w:hAnsi="宋体" w:eastAsia="宋体" w:cs="宋体"/>
                <w:bCs/>
                <w:color w:val="auto"/>
                <w:sz w:val="20"/>
                <w:szCs w:val="20"/>
                <w:highlight w:val="none"/>
                <w:lang w:val="en-US" w:eastAsia="zh-CN"/>
              </w:rPr>
              <w:t>　　（六）玩忽职守造成收养登记档案损毁的；</w:t>
            </w:r>
            <w:r>
              <w:rPr>
                <w:rFonts w:hint="eastAsia" w:ascii="宋体" w:hAnsi="宋体" w:eastAsia="宋体" w:cs="宋体"/>
                <w:bCs/>
                <w:color w:val="auto"/>
                <w:sz w:val="20"/>
                <w:szCs w:val="20"/>
                <w:highlight w:val="none"/>
                <w:lang w:val="en-US" w:eastAsia="zh-CN"/>
              </w:rPr>
              <w:br w:type="textWrapping"/>
            </w:r>
            <w:r>
              <w:rPr>
                <w:rFonts w:hint="eastAsia" w:ascii="宋体" w:hAnsi="宋体" w:eastAsia="宋体" w:cs="宋体"/>
                <w:bCs/>
                <w:color w:val="auto"/>
                <w:sz w:val="20"/>
                <w:szCs w:val="20"/>
                <w:highlight w:val="none"/>
                <w:lang w:val="en-US" w:eastAsia="zh-CN"/>
              </w:rPr>
              <w:t>　　（七）泄露当事人收养秘密并造成严重后果的；</w:t>
            </w:r>
            <w:r>
              <w:rPr>
                <w:rFonts w:hint="eastAsia" w:ascii="宋体" w:hAnsi="宋体" w:eastAsia="宋体" w:cs="宋体"/>
                <w:bCs/>
                <w:color w:val="auto"/>
                <w:sz w:val="20"/>
                <w:szCs w:val="20"/>
                <w:highlight w:val="none"/>
                <w:lang w:val="en-US" w:eastAsia="zh-CN"/>
              </w:rPr>
              <w:br w:type="textWrapping"/>
            </w:r>
            <w:r>
              <w:rPr>
                <w:rFonts w:hint="eastAsia" w:ascii="宋体" w:hAnsi="宋体" w:eastAsia="宋体" w:cs="宋体"/>
                <w:bCs/>
                <w:color w:val="auto"/>
                <w:sz w:val="20"/>
                <w:szCs w:val="20"/>
                <w:highlight w:val="none"/>
                <w:lang w:val="en-US" w:eastAsia="zh-CN"/>
              </w:rPr>
              <w:t>　　（八）购买使用伪造收养证书的。</w:t>
            </w:r>
          </w:p>
        </w:tc>
        <w:tc>
          <w:tcPr>
            <w:tcW w:w="812"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15"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083"/>
        <w:gridCol w:w="950"/>
        <w:gridCol w:w="917"/>
        <w:gridCol w:w="817"/>
        <w:gridCol w:w="3750"/>
        <w:gridCol w:w="2450"/>
        <w:gridCol w:w="2906"/>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33"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4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90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1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08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50"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4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90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1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0700-F-00100-140581</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内地居民婚姻登记</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1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行政确认</w:t>
            </w:r>
          </w:p>
        </w:tc>
        <w:tc>
          <w:tcPr>
            <w:tcW w:w="3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《中华人民共和国</w:t>
            </w:r>
            <w:r>
              <w:rPr>
                <w:rFonts w:hint="eastAsia" w:ascii="宋体" w:hAnsi="宋体" w:eastAsia="宋体" w:cs="宋体"/>
                <w:bCs/>
                <w:color w:val="auto"/>
                <w:sz w:val="20"/>
                <w:szCs w:val="20"/>
                <w:highlight w:val="none"/>
                <w:lang w:eastAsia="zh-CN"/>
              </w:rPr>
              <w:t>民法典</w:t>
            </w:r>
            <w:r>
              <w:rPr>
                <w:rFonts w:hint="eastAsia" w:ascii="宋体" w:hAnsi="宋体" w:eastAsia="宋体" w:cs="宋体"/>
                <w:bCs/>
                <w:color w:val="auto"/>
                <w:sz w:val="20"/>
                <w:szCs w:val="20"/>
                <w:highlight w:val="none"/>
              </w:rPr>
              <w:t>》第</w:t>
            </w:r>
            <w:r>
              <w:rPr>
                <w:rFonts w:hint="eastAsia" w:ascii="宋体" w:hAnsi="宋体" w:eastAsia="宋体" w:cs="宋体"/>
                <w:bCs/>
                <w:color w:val="auto"/>
                <w:sz w:val="20"/>
                <w:szCs w:val="20"/>
                <w:highlight w:val="none"/>
                <w:lang w:val="en-US" w:eastAsia="zh-CN"/>
              </w:rPr>
              <w:t>1049</w:t>
            </w:r>
            <w:r>
              <w:rPr>
                <w:rFonts w:hint="eastAsia" w:ascii="宋体" w:hAnsi="宋体" w:eastAsia="宋体" w:cs="宋体"/>
                <w:bCs/>
                <w:color w:val="auto"/>
                <w:sz w:val="20"/>
                <w:szCs w:val="20"/>
                <w:highlight w:val="none"/>
              </w:rPr>
              <w:t>条</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要求结婚的男女双方必须亲自到婚姻登记机关进行结婚登记。符合本法规定的，予以登记，发给结婚证。</w:t>
            </w:r>
            <w:r>
              <w:rPr>
                <w:rFonts w:hint="eastAsia" w:ascii="宋体" w:hAnsi="宋体" w:eastAsia="宋体" w:cs="宋体"/>
                <w:bCs/>
                <w:color w:val="auto"/>
                <w:sz w:val="20"/>
                <w:szCs w:val="20"/>
                <w:highlight w:val="none"/>
                <w:lang w:eastAsia="zh-CN"/>
              </w:rPr>
              <w:t>完成婚姻登记</w:t>
            </w:r>
            <w:r>
              <w:rPr>
                <w:rFonts w:hint="eastAsia" w:ascii="宋体" w:hAnsi="宋体" w:eastAsia="宋体" w:cs="宋体"/>
                <w:bCs/>
                <w:color w:val="auto"/>
                <w:sz w:val="20"/>
                <w:szCs w:val="20"/>
                <w:highlight w:val="none"/>
              </w:rPr>
              <w:t>，即确立</w:t>
            </w:r>
            <w:r>
              <w:rPr>
                <w:rFonts w:hint="eastAsia" w:ascii="宋体" w:hAnsi="宋体" w:eastAsia="宋体" w:cs="宋体"/>
                <w:bCs/>
                <w:color w:val="auto"/>
                <w:sz w:val="20"/>
                <w:szCs w:val="20"/>
                <w:highlight w:val="none"/>
                <w:lang w:eastAsia="zh-CN"/>
              </w:rPr>
              <w:t>婚姻</w:t>
            </w:r>
            <w:r>
              <w:rPr>
                <w:rFonts w:hint="eastAsia" w:ascii="宋体" w:hAnsi="宋体" w:eastAsia="宋体" w:cs="宋体"/>
                <w:bCs/>
                <w:color w:val="auto"/>
                <w:sz w:val="20"/>
                <w:szCs w:val="20"/>
                <w:highlight w:val="none"/>
              </w:rPr>
              <w:t xml:space="preserve">关系。未办理结婚登记的，应当补办登记。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rPr>
              <w:t>第</w:t>
            </w:r>
            <w:r>
              <w:rPr>
                <w:rFonts w:hint="eastAsia" w:ascii="宋体" w:hAnsi="宋体" w:eastAsia="宋体" w:cs="宋体"/>
                <w:bCs/>
                <w:color w:val="auto"/>
                <w:sz w:val="20"/>
                <w:szCs w:val="20"/>
                <w:highlight w:val="none"/>
                <w:lang w:val="en-US" w:eastAsia="zh-CN"/>
              </w:rPr>
              <w:t>1076</w:t>
            </w:r>
            <w:r>
              <w:rPr>
                <w:rFonts w:hint="eastAsia" w:ascii="宋体" w:hAnsi="宋体" w:eastAsia="宋体" w:cs="宋体"/>
                <w:bCs/>
                <w:color w:val="auto"/>
                <w:sz w:val="20"/>
                <w:szCs w:val="20"/>
                <w:highlight w:val="none"/>
              </w:rPr>
              <w:t>条</w:t>
            </w:r>
            <w:r>
              <w:rPr>
                <w:rFonts w:hint="eastAsia" w:ascii="宋体" w:hAnsi="宋体" w:eastAsia="宋体" w:cs="宋体"/>
                <w:bCs/>
                <w:color w:val="auto"/>
                <w:sz w:val="20"/>
                <w:szCs w:val="20"/>
                <w:highlight w:val="none"/>
                <w:lang w:eastAsia="zh-CN"/>
              </w:rPr>
              <w:t>：夫妻双方</w:t>
            </w:r>
            <w:r>
              <w:rPr>
                <w:rFonts w:hint="eastAsia" w:ascii="宋体" w:hAnsi="宋体" w:eastAsia="宋体" w:cs="宋体"/>
                <w:bCs/>
                <w:color w:val="auto"/>
                <w:sz w:val="20"/>
                <w:szCs w:val="20"/>
                <w:highlight w:val="none"/>
              </w:rPr>
              <w:t>自愿离婚的，</w:t>
            </w:r>
            <w:r>
              <w:rPr>
                <w:rFonts w:hint="eastAsia" w:ascii="宋体" w:hAnsi="宋体" w:eastAsia="宋体" w:cs="宋体"/>
                <w:bCs/>
                <w:color w:val="auto"/>
                <w:sz w:val="20"/>
                <w:szCs w:val="20"/>
                <w:highlight w:val="none"/>
                <w:lang w:eastAsia="zh-CN"/>
              </w:rPr>
              <w:t>应当签订书面离婚协议，并亲自到婚姻登记机关申请离婚登记</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。第</w:t>
            </w:r>
            <w:r>
              <w:rPr>
                <w:rFonts w:hint="eastAsia" w:ascii="宋体" w:hAnsi="宋体" w:eastAsia="宋体" w:cs="宋体"/>
                <w:bCs/>
                <w:color w:val="auto"/>
                <w:sz w:val="20"/>
                <w:szCs w:val="20"/>
                <w:highlight w:val="none"/>
                <w:lang w:val="en-US" w:eastAsia="zh-CN"/>
              </w:rPr>
              <w:t>1078条：婚姻登记机关查明双方确实是自愿离婚，并已经对子女抚养、财产以及债务处理等事项协商一致的，予以登记，发给离婚证。</w:t>
            </w:r>
          </w:p>
        </w:tc>
        <w:tc>
          <w:tcPr>
            <w:tcW w:w="2450" w:type="dxa"/>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 xml:space="preserve">受理责任：受理婚姻登记事宜，对符合婚姻法规定条件的当事人告知所需提供的材料，对不符合登记条件的当事人告知其原因。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2.</w:t>
            </w:r>
            <w:r>
              <w:rPr>
                <w:rFonts w:hint="eastAsia" w:ascii="宋体" w:hAnsi="宋体" w:eastAsia="宋体" w:cs="宋体"/>
                <w:bCs/>
                <w:color w:val="auto"/>
                <w:sz w:val="20"/>
                <w:szCs w:val="20"/>
                <w:highlight w:val="none"/>
              </w:rPr>
              <w:t xml:space="preserve">审查责任：婚姻登记机关收到有关材料后，及时进行审查。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 xml:space="preserve">3.决定责任：对符合婚姻法规定条件的，为当事人办理结婚证或离婚证，对不符合婚姻法规定条件的，不予登记，并对当事人说明理由。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 xml:space="preserve">4.送达责任：及时将结婚证、离婚证送达给申请人。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 xml:space="preserve">5.监管责任：登记并留存登记档案。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6.其他：法律法规规章规定应履行的责任。</w:t>
            </w:r>
          </w:p>
        </w:tc>
        <w:tc>
          <w:tcPr>
            <w:tcW w:w="29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《婚姻登记条例》第十八条 婚姻登记机关及其婚姻登记员有下列行为之一的，对直接负责的主管人员和其他直接责任人员依法给予行政处分：(一)为不符合婚姻登记条件的当事人办理婚姻登记的；(二)玩忽职守造成婚姻登记档案损失的；(三)办理婚姻登记或者补发结婚证、离婚证超过收费标准收取费用的。违反前款第(三)项规定收取的费用，应当退还当事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《婚姻登记工作规范》第七十二条婚姻登记机关及其婚姻登记员有下列行为之一的，对直接负责的主管人员和其他直接责任人员依法给予行政处分： (一)为不符合婚姻登记条件的当事人办理婚姻登记的; (二)违反程序规定办理婚姻登记、发放婚姻登记证、撤销婚姻的; (三)要求当事人提交《婚姻登记条例》和本规范规定以外的证件材料的; (四)擅自提高收费标准或者增加收费项目的; (五)玩忽职守造成婚姻登记档案损毁的; (六)购买使用伪造婚姻证书的; (七)违反规定应用婚姻登记信息系统的。</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20"/>
        <w:gridCol w:w="917"/>
        <w:gridCol w:w="817"/>
        <w:gridCol w:w="3766"/>
        <w:gridCol w:w="2434"/>
        <w:gridCol w:w="2906"/>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33"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6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434"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90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7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20"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6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434"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90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7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0700-F-00400-140581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居住在中国内地的中国公民在内地收养登记、解除收养关系登记</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1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行政确认</w:t>
            </w:r>
          </w:p>
        </w:tc>
        <w:tc>
          <w:tcPr>
            <w:tcW w:w="376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收养登记：</w:t>
            </w:r>
            <w:r>
              <w:rPr>
                <w:rFonts w:hint="eastAsia" w:ascii="宋体" w:hAnsi="宋体" w:eastAsia="宋体" w:cs="宋体"/>
                <w:bCs/>
                <w:color w:val="auto"/>
                <w:sz w:val="20"/>
                <w:szCs w:val="20"/>
                <w:highlight w:val="none"/>
              </w:rPr>
              <w:t xml:space="preserve">《中华人民共和国民法典》  第一千一百零五条 收养应当向县级以上人民政府民政部门登记。收养关系自登记之日起成立。  收养查找不到生父母的未成年人的，办理登记的民政部门应当在登记前予以公告。  收养关系当事人愿意签订收养协议的，可以签订收养协议。  收养关系当事人各方或者一方要求办理收养公证的，应当办理收养公证。  县级以上人民政府民政部门应当依法进行收养评估。 【部门规章】《中国公民收养子女登记办法》（民政部令第14号） 第七条 收养登记机关收到收养登记申请书及有关材料后，应当自次日起30日内进行审查。对符合收养法规定条件的，为当事人办理收养登记，发给收养登记证， 收养关系自登记之日起成立；对不符合收养法规定条件的，不予登记，并对当事人说明理由。收养查找不到生父母的弃婴、儿童的，收养登记机关应当在登记前公告查找其生父母；自公告之日起满60日，弃婴、儿童的生父母或者其他监护人未认领的，视为查找不到生父母的弃婴、儿童。公告期间不计算在登记办理期限内。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解除收养登记：</w:t>
            </w:r>
            <w:r>
              <w:rPr>
                <w:rFonts w:hint="eastAsia" w:ascii="宋体" w:hAnsi="宋体" w:eastAsia="宋体" w:cs="宋体"/>
                <w:bCs/>
                <w:color w:val="auto"/>
                <w:sz w:val="20"/>
                <w:szCs w:val="20"/>
                <w:highlight w:val="none"/>
              </w:rPr>
              <w:t>《中华人民共和国民法典》  第一千一百一十六条  当事人协议解除收养关系的，应当到民政部门办理解除收养关系登记。 【部门规章】《中国公民收养子女登记办法》（民政部令第14号） 第九条 收养关系当事人协议解除收养关系的，应当持居民户口簿、居民身份证、收养登记证和解除收养关系的书面协议，共同到被收养人常住户口所在地的收养登记机关办理解除收养关系登记。第十条 收养登记机关收到解除收养关系登记申请书及有关材料后，应当自次日起30日内进行审查；对符合收养法规定的，为当事人办理解除收养关系的登记，收回收养登记证，发给解除收养关系证明。</w:t>
            </w:r>
          </w:p>
        </w:tc>
        <w:tc>
          <w:tcPr>
            <w:tcW w:w="2434" w:type="dxa"/>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 xml:space="preserve">受理责任：居住在中国内地的中国公民办理（解除）收养关系登记时，，一次性告知应当提交的材料，对符合条件且材料齐全的依法受理。 </w:t>
            </w:r>
          </w:p>
          <w:p>
            <w:pPr>
              <w:keepNext w:val="0"/>
              <w:keepLines w:val="0"/>
              <w:pageBreakBefore w:val="0"/>
              <w:widowControl w:val="0"/>
              <w:numPr>
                <w:ilvl w:val="0"/>
                <w:numId w:val="9"/>
              </w:numPr>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审查责任：对照条件和标准，对书面申请及相关材料进行审核，必要时征求相关部门意见。</w:t>
            </w:r>
          </w:p>
          <w:p>
            <w:pPr>
              <w:keepNext w:val="0"/>
              <w:keepLines w:val="0"/>
              <w:pageBreakBefore w:val="0"/>
              <w:widowControl w:val="0"/>
              <w:numPr>
                <w:ilvl w:val="0"/>
                <w:numId w:val="9"/>
              </w:numPr>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决定责任:作出行政确认或者不予行政确认决定，准予确认的，按规定时限办理,不予确认的告知理由。</w:t>
            </w:r>
          </w:p>
          <w:p>
            <w:pPr>
              <w:keepNext w:val="0"/>
              <w:keepLines w:val="0"/>
              <w:pageBreakBefore w:val="0"/>
              <w:widowControl w:val="0"/>
              <w:numPr>
                <w:ilvl w:val="0"/>
                <w:numId w:val="9"/>
              </w:numPr>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 xml:space="preserve">事后监管责任：建立监督检查的运行机制 和管理制度，开展定期和不定期检查，依法采取相关处置措施。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5、其他责任：法律法规规章规定应履行的责任。"</w:t>
            </w:r>
          </w:p>
        </w:tc>
        <w:tc>
          <w:tcPr>
            <w:tcW w:w="29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《中国公民收养子女登记办法》（民政部令 第 14 号）第七条“收养登记机关收到收养登记申请书及有关材料后，应当自次日起30日内进行审查。对符合收养法规定条件的，为当事人办理收养登记，发给收养登记证，收养关系自登记之日起成立；对不符合收养法规定条件的，不予登记，并对当事人说明理由。 第十条 收养登记机关收到解除收养关系登记申请书及有关材料后， 应当自次日起30日内进行审查；对符合收养法规定的，为当事人办理解除收养关系的登记，收回收养登记证，发给解除收养关系证明。”</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both"/>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both"/>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37"/>
        <w:gridCol w:w="917"/>
        <w:gridCol w:w="800"/>
        <w:gridCol w:w="3766"/>
        <w:gridCol w:w="2434"/>
        <w:gridCol w:w="2906"/>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50"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6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434"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90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7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37"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6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434"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90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7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0700-F-00600-140581</w:t>
            </w:r>
          </w:p>
        </w:tc>
        <w:tc>
          <w:tcPr>
            <w:tcW w:w="111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特困人员认定</w:t>
            </w:r>
          </w:p>
        </w:tc>
        <w:tc>
          <w:tcPr>
            <w:tcW w:w="937"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917"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0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行政确认</w:t>
            </w:r>
          </w:p>
        </w:tc>
        <w:tc>
          <w:tcPr>
            <w:tcW w:w="3766"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社会救助暂行办法</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第十四条</w:t>
            </w:r>
            <w:r>
              <w:rPr>
                <w:rFonts w:hint="eastAsia" w:ascii="宋体" w:hAnsi="宋体" w:eastAsia="宋体" w:cs="宋体"/>
                <w:bCs/>
                <w:color w:val="auto"/>
                <w:sz w:val="20"/>
                <w:szCs w:val="20"/>
                <w:highlight w:val="none"/>
                <w:lang w:eastAsia="zh-CN"/>
              </w:rPr>
              <w:t>国家对无劳动能力、无生活来源且无法定赡养、抚养、扶养义务人，或者其法定赡养、抚养、扶养义务人无赡养、抚养、扶养能力的老年人、残疾人以及未满16周岁的未成年人，给予特困人员供养。</w:t>
            </w:r>
          </w:p>
        </w:tc>
        <w:tc>
          <w:tcPr>
            <w:tcW w:w="24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1.</w:t>
            </w:r>
            <w:r>
              <w:rPr>
                <w:rFonts w:hint="eastAsia" w:ascii="宋体" w:hAnsi="宋体" w:eastAsia="宋体" w:cs="宋体"/>
                <w:bCs/>
                <w:color w:val="auto"/>
                <w:sz w:val="20"/>
                <w:szCs w:val="20"/>
                <w:highlight w:val="none"/>
                <w:lang w:val="en-US" w:eastAsia="zh-CN"/>
              </w:rPr>
              <w:t>受理责任：申请特困人员救助供养，应当由本人向户籍所在地乡镇人民政府（街道办事处）提出书面申请。本人申请有困难的，可以委托村（居）民委员会或者他人代为提出申请。 2.审核责任：乡镇人民政府（街道办事处）应当自受理申请之日起20个工作日内，通过入户调查、邻里访问、信函索证、民主评议、信息核对等方式，对申请人的经济状况、实际生活状况以及赡养、抚养、扶养状况等进行调查核实，并提出审核意见。3.决定责任：乡镇人民政府（街道办事处）应当将审核意见及时在申请人所在村（社区）公示。公示期为7天。公示期满无异议的，乡镇人民政府（街道办事处）作出审批决定并报市民政局备案。 4.给付责任：市民政局对通过审批的特困供养人员及时发放供养金。</w:t>
            </w:r>
          </w:p>
        </w:tc>
        <w:tc>
          <w:tcPr>
            <w:tcW w:w="2906"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社会救助暂行办法</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第66条违</w:t>
            </w:r>
            <w:r>
              <w:rPr>
                <w:rFonts w:hint="eastAsia" w:ascii="宋体" w:hAnsi="宋体" w:eastAsia="宋体" w:cs="宋体"/>
                <w:bCs/>
                <w:color w:val="auto"/>
                <w:sz w:val="20"/>
                <w:szCs w:val="20"/>
                <w:highlight w:val="none"/>
              </w:rPr>
              <w:t>反本办法规定，有下列情形之一的，由上级行政机关或者监察机关责令改正；对直接负责的主管人员和其他直接责任人员依法给予处分：（一）对符合申请条件的救助申请不予受理的；（二）对符合救助条件的救助申请不予批准的；（三）对不符合救助条件的救助申请予以批准的；（四）泄露在工作中知悉的公民个人信息，造成后果的</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（五）丢失、篡改接受社会救助款物、服务记录等数据的；（六）不按照规定发放社会救助资金、物资或者提供相关服务的； 七）在履行社会救助职责过程中有其他滥用职权、玩忽职守、徇私舞弊行为的。</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54"/>
        <w:gridCol w:w="900"/>
        <w:gridCol w:w="816"/>
        <w:gridCol w:w="3734"/>
        <w:gridCol w:w="2450"/>
        <w:gridCol w:w="2906"/>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67"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1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34"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4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90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7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54"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1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34"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4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90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7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0700-F-00800-140581</w:t>
            </w:r>
          </w:p>
        </w:tc>
        <w:tc>
          <w:tcPr>
            <w:tcW w:w="111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临时救助对象认定</w:t>
            </w:r>
          </w:p>
        </w:tc>
        <w:tc>
          <w:tcPr>
            <w:tcW w:w="954"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90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16"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行政确认</w:t>
            </w:r>
          </w:p>
        </w:tc>
        <w:tc>
          <w:tcPr>
            <w:tcW w:w="3734"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社会救助暂行办法</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第四十七条</w:t>
            </w:r>
            <w:r>
              <w:rPr>
                <w:rFonts w:hint="eastAsia" w:ascii="宋体" w:hAnsi="宋体" w:eastAsia="宋体" w:cs="宋体"/>
                <w:bCs/>
                <w:color w:val="auto"/>
                <w:sz w:val="20"/>
                <w:szCs w:val="20"/>
                <w:highlight w:val="none"/>
                <w:lang w:eastAsia="zh-CN"/>
              </w:rPr>
              <w:t>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1.</w:t>
            </w:r>
            <w:r>
              <w:rPr>
                <w:rFonts w:hint="eastAsia" w:ascii="宋体" w:hAnsi="宋体" w:eastAsia="宋体" w:cs="宋体"/>
                <w:bCs/>
                <w:color w:val="auto"/>
                <w:sz w:val="20"/>
                <w:szCs w:val="20"/>
                <w:highlight w:val="none"/>
              </w:rPr>
              <w:t>受理责任：申请临时救助的</w:t>
            </w:r>
            <w:r>
              <w:rPr>
                <w:rFonts w:hint="eastAsia" w:ascii="宋体" w:hAnsi="宋体" w:eastAsia="宋体" w:cs="宋体"/>
                <w:bCs/>
                <w:color w:val="auto"/>
                <w:sz w:val="20"/>
                <w:szCs w:val="20"/>
                <w:highlight w:val="none"/>
                <w:lang w:val="en-US" w:eastAsia="zh-CN"/>
              </w:rPr>
              <w:t>城乡居民应以</w:t>
            </w:r>
            <w:r>
              <w:rPr>
                <w:rFonts w:hint="eastAsia" w:ascii="宋体" w:hAnsi="宋体" w:eastAsia="宋体" w:cs="宋体"/>
                <w:bCs/>
                <w:color w:val="auto"/>
                <w:sz w:val="20"/>
                <w:szCs w:val="20"/>
                <w:highlight w:val="none"/>
              </w:rPr>
              <w:t>家庭</w:t>
            </w:r>
            <w:r>
              <w:rPr>
                <w:rFonts w:hint="eastAsia" w:ascii="宋体" w:hAnsi="宋体" w:eastAsia="宋体" w:cs="宋体"/>
                <w:bCs/>
                <w:color w:val="auto"/>
                <w:sz w:val="20"/>
                <w:szCs w:val="20"/>
                <w:highlight w:val="none"/>
                <w:lang w:val="en-US" w:eastAsia="zh-CN"/>
              </w:rPr>
              <w:t>为单位，</w:t>
            </w:r>
            <w:r>
              <w:rPr>
                <w:rFonts w:hint="eastAsia" w:ascii="宋体" w:hAnsi="宋体" w:eastAsia="宋体" w:cs="宋体"/>
                <w:bCs/>
                <w:color w:val="auto"/>
                <w:sz w:val="20"/>
                <w:szCs w:val="20"/>
                <w:highlight w:val="none"/>
              </w:rPr>
              <w:t>向户籍所在地乡镇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提出书面申请，</w:t>
            </w:r>
            <w:r>
              <w:rPr>
                <w:rFonts w:hint="eastAsia" w:ascii="宋体" w:hAnsi="宋体" w:eastAsia="宋体" w:cs="宋体"/>
                <w:bCs/>
                <w:color w:val="auto"/>
                <w:sz w:val="20"/>
                <w:szCs w:val="20"/>
                <w:highlight w:val="none"/>
                <w:lang w:eastAsia="zh-CN"/>
              </w:rPr>
              <w:t>并提供相关材料</w:t>
            </w:r>
            <w:r>
              <w:rPr>
                <w:rFonts w:hint="eastAsia" w:ascii="宋体" w:hAnsi="宋体" w:eastAsia="宋体" w:cs="宋体"/>
                <w:bCs/>
                <w:color w:val="auto"/>
                <w:sz w:val="20"/>
                <w:szCs w:val="20"/>
                <w:highlight w:val="none"/>
              </w:rPr>
              <w:t>。2.审查责任：乡镇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负责对临时救助申请对象的入户核查工作。</w:t>
            </w:r>
            <w:r>
              <w:rPr>
                <w:rFonts w:hint="eastAsia" w:ascii="宋体" w:hAnsi="宋体" w:eastAsia="宋体" w:cs="宋体"/>
                <w:bCs/>
                <w:color w:val="auto"/>
                <w:sz w:val="20"/>
                <w:szCs w:val="20"/>
                <w:highlight w:val="none"/>
              </w:rPr>
              <w:t xml:space="preserve"> 3.决定责任：</w:t>
            </w:r>
            <w:r>
              <w:rPr>
                <w:rFonts w:hint="eastAsia" w:ascii="宋体" w:hAnsi="宋体" w:eastAsia="宋体" w:cs="宋体"/>
                <w:bCs/>
                <w:color w:val="auto"/>
                <w:sz w:val="20"/>
                <w:szCs w:val="20"/>
                <w:highlight w:val="none"/>
                <w:lang w:val="en-US" w:eastAsia="zh-CN"/>
              </w:rPr>
              <w:t>公示结束后，对无异议的对象，符合</w:t>
            </w:r>
            <w:r>
              <w:rPr>
                <w:rFonts w:hint="eastAsia" w:ascii="宋体" w:hAnsi="宋体" w:eastAsia="宋体" w:cs="宋体"/>
                <w:bCs/>
                <w:color w:val="auto"/>
                <w:sz w:val="20"/>
                <w:szCs w:val="20"/>
                <w:highlight w:val="none"/>
              </w:rPr>
              <w:t>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救助标准的，由</w:t>
            </w:r>
            <w:r>
              <w:rPr>
                <w:rFonts w:hint="eastAsia" w:ascii="宋体" w:hAnsi="宋体" w:eastAsia="宋体" w:cs="宋体"/>
                <w:bCs/>
                <w:color w:val="auto"/>
                <w:sz w:val="20"/>
                <w:szCs w:val="20"/>
                <w:highlight w:val="none"/>
              </w:rPr>
              <w:t>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直接审批予以救助；超过</w:t>
            </w:r>
            <w:r>
              <w:rPr>
                <w:rFonts w:hint="eastAsia" w:ascii="宋体" w:hAnsi="宋体" w:eastAsia="宋体" w:cs="宋体"/>
                <w:bCs/>
                <w:color w:val="auto"/>
                <w:sz w:val="20"/>
                <w:szCs w:val="20"/>
                <w:highlight w:val="none"/>
              </w:rPr>
              <w:t>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救助标准的，经领导签字盖章连同有关材料报市民政局，市民政局根据</w:t>
            </w:r>
            <w:r>
              <w:rPr>
                <w:rFonts w:hint="eastAsia" w:ascii="宋体" w:hAnsi="宋体" w:eastAsia="宋体" w:cs="宋体"/>
                <w:bCs/>
                <w:color w:val="auto"/>
                <w:sz w:val="20"/>
                <w:szCs w:val="20"/>
                <w:highlight w:val="none"/>
              </w:rPr>
              <w:t>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提出的审核意见及相关材料做出审批决定。对不符合条件的不予批准，将材料退回</w:t>
            </w:r>
            <w:r>
              <w:rPr>
                <w:rFonts w:hint="eastAsia" w:ascii="宋体" w:hAnsi="宋体" w:eastAsia="宋体" w:cs="宋体"/>
                <w:bCs/>
                <w:color w:val="auto"/>
                <w:sz w:val="20"/>
                <w:szCs w:val="20"/>
                <w:highlight w:val="none"/>
              </w:rPr>
              <w:t>乡镇</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街道</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 xml:space="preserve"> 4.给付责任：根据救助金额，将救助金直接支付到申请人个人账户。 5.事后监管责任：受理举报、投诉，及时核实、处理。 6.其他：法律法规规章规定应履行的责任。</w:t>
            </w:r>
          </w:p>
        </w:tc>
        <w:tc>
          <w:tcPr>
            <w:tcW w:w="2906"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社会救助暂行办法</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第66条违</w:t>
            </w:r>
            <w:r>
              <w:rPr>
                <w:rFonts w:hint="eastAsia" w:ascii="宋体" w:hAnsi="宋体" w:eastAsia="宋体" w:cs="宋体"/>
                <w:bCs/>
                <w:color w:val="auto"/>
                <w:sz w:val="20"/>
                <w:szCs w:val="20"/>
                <w:highlight w:val="none"/>
              </w:rPr>
              <w:t>反本办法规定，有下列情形之一的，由上级行政机关或者监察机关责令改正；对直接负责的主管人员和其他直接责任人员依法给予处分：（一）对符合申请条件的救助申请不予受理的；（二）对符合救助条件的救助申请不予批准的；（三）对不符合救助条件的救助申请予以批准的；（四）泄露在工作中知悉的公民个人信息，造成后果的</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（五）丢失、篡改接受社会救助款物、服务记录等数据的；（六）不按照规定发放社会救助资金、物资或者提供相关服务的； 七）在履行社会救助职责过程中有其他滥用职权、玩忽职守、徇私舞弊行为的。</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54"/>
        <w:gridCol w:w="900"/>
        <w:gridCol w:w="800"/>
        <w:gridCol w:w="3766"/>
        <w:gridCol w:w="2434"/>
        <w:gridCol w:w="2906"/>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67"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6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434"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90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7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54"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6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434"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90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7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0700-F-01000-140581</w:t>
            </w:r>
          </w:p>
        </w:tc>
        <w:tc>
          <w:tcPr>
            <w:tcW w:w="111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城乡最低生活保障对象认定</w:t>
            </w:r>
          </w:p>
        </w:tc>
        <w:tc>
          <w:tcPr>
            <w:tcW w:w="954"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90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00"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行政确认</w:t>
            </w:r>
          </w:p>
        </w:tc>
        <w:tc>
          <w:tcPr>
            <w:tcW w:w="3766"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社会救助暂行办法</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第十一条</w:t>
            </w:r>
            <w:r>
              <w:rPr>
                <w:rFonts w:hint="eastAsia" w:ascii="宋体" w:hAnsi="宋体" w:eastAsia="宋体" w:cs="宋体"/>
                <w:bCs/>
                <w:color w:val="auto"/>
                <w:sz w:val="20"/>
                <w:szCs w:val="20"/>
                <w:highlight w:val="none"/>
                <w:lang w:eastAsia="zh-CN"/>
              </w:rPr>
              <w:t>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w:t>
            </w:r>
            <w:r>
              <w:rPr>
                <w:rFonts w:hint="eastAsia" w:ascii="宋体" w:hAnsi="宋体" w:eastAsia="宋体" w:cs="宋体"/>
                <w:bCs/>
                <w:color w:val="auto"/>
                <w:sz w:val="20"/>
                <w:szCs w:val="20"/>
                <w:highlight w:val="none"/>
                <w:lang w:val="en-US" w:eastAsia="zh-CN"/>
              </w:rPr>
              <w:t xml:space="preserve"> </w:t>
            </w:r>
            <w:r>
              <w:rPr>
                <w:rFonts w:hint="eastAsia" w:ascii="宋体" w:hAnsi="宋体" w:eastAsia="宋体" w:cs="宋体"/>
                <w:bCs/>
                <w:color w:val="auto"/>
                <w:sz w:val="20"/>
                <w:szCs w:val="20"/>
                <w:highlight w:val="none"/>
                <w:lang w:eastAsia="zh-CN"/>
              </w:rPr>
              <w:t>《山西省民政厅</w:t>
            </w:r>
            <w:r>
              <w:rPr>
                <w:rFonts w:hint="eastAsia" w:ascii="宋体" w:hAnsi="宋体" w:eastAsia="宋体" w:cs="宋体"/>
                <w:bCs/>
                <w:color w:val="auto"/>
                <w:sz w:val="20"/>
                <w:szCs w:val="20"/>
                <w:highlight w:val="none"/>
                <w:lang w:val="en-US" w:eastAsia="zh-CN"/>
              </w:rPr>
              <w:t xml:space="preserve"> 山西省财政厅关于扎实做好困难群众基本生活保障工作的通知》（晋民发（2020）42号）第六点全面优化社会救助工作流程，做到救助及时，鼓励有条件的地方可按程序将低保、特困等社会救助审核确认权限下放至乡镇（街道）。   中共中央办公厅厅 国务院办公厅印发《关于改革完善社会救助制度的意见》中第二点第二十四条，优化审核确认程序，有条件的地方可按程序将低保、特困等社会救助审核确认权限下放至乡镇（街道），县级民政部门加强监督指导。</w:t>
            </w:r>
          </w:p>
        </w:tc>
        <w:tc>
          <w:tcPr>
            <w:tcW w:w="243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1.受理责任：对申请人提交材料进行审查，材料齐备的，予以受理；申请材料不齐全或者不符合申请办理程序的,应告知申请人补齐资料或申请办理的相关程序。 2.审查责任：对申请人提交的材料内容进行真实性审查。依法需要对申请材料的实质内容进行核实的，进行入户调查、走访核实。 3.决定责任：符合办理条件的，予以及时审批决定。不符合条件的，告知理由。 4.给付责任：将符合办理条件者的花名，按时送交财务股。 5.事后监管责任：开展定期不定期检查，看资金是否发放到位。 6.其他：法律法规规章规定应履行的责任。</w:t>
            </w:r>
          </w:p>
        </w:tc>
        <w:tc>
          <w:tcPr>
            <w:tcW w:w="2906"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社会救助暂行办法</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第66条违</w:t>
            </w:r>
            <w:r>
              <w:rPr>
                <w:rFonts w:hint="eastAsia" w:ascii="宋体" w:hAnsi="宋体" w:eastAsia="宋体" w:cs="宋体"/>
                <w:bCs/>
                <w:color w:val="auto"/>
                <w:sz w:val="20"/>
                <w:szCs w:val="20"/>
                <w:highlight w:val="none"/>
              </w:rPr>
              <w:t>反本办法规定，有下列情形之一的，由上级行政机关或者监察机关责令改正；对直接负责的主管人员和其他直接责任人员依法给予处分：（一）对符合申请条件的救助申请不予受理的；（二）对符合救助条件的救助申请不予批准的；（三）对不符合救助条件的救助申请予以批准的；（四）泄露在工作中知悉的公民个人信息，造成后果的</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（五）丢失、篡改接受社会救助款物、服务记录等数据的；（六）不按照规定发放社会救助资金、物资或者提供相关服务的； 七）在履行社会救助职责过程中有其他滥用职权、玩忽职守、徇私舞弊行为的。</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4978"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70"/>
        <w:gridCol w:w="884"/>
        <w:gridCol w:w="800"/>
        <w:gridCol w:w="3766"/>
        <w:gridCol w:w="2467"/>
        <w:gridCol w:w="287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83"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884"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6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46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87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87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70"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884"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6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46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87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7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1232"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color w:val="auto"/>
                <w:sz w:val="20"/>
                <w:szCs w:val="20"/>
                <w:highlight w:val="none"/>
              </w:rPr>
              <w:t>0700-A-00200-140581</w:t>
            </w:r>
          </w:p>
        </w:tc>
        <w:tc>
          <w:tcPr>
            <w:tcW w:w="111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地名审批或核准</w:t>
            </w:r>
          </w:p>
        </w:tc>
        <w:tc>
          <w:tcPr>
            <w:tcW w:w="97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884"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0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color w:val="auto"/>
                <w:sz w:val="20"/>
                <w:szCs w:val="20"/>
                <w:highlight w:val="none"/>
              </w:rPr>
              <w:t>行政</w:t>
            </w:r>
            <w:r>
              <w:rPr>
                <w:rFonts w:hint="eastAsia" w:ascii="宋体" w:hAnsi="宋体" w:eastAsia="宋体" w:cs="宋体"/>
                <w:color w:val="auto"/>
                <w:sz w:val="20"/>
                <w:szCs w:val="20"/>
                <w:highlight w:val="none"/>
                <w:lang w:eastAsia="zh-CN"/>
              </w:rPr>
              <w:t>确认</w:t>
            </w:r>
          </w:p>
        </w:tc>
        <w:tc>
          <w:tcPr>
            <w:tcW w:w="376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both"/>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《地名管理条例》第六款</w:t>
            </w:r>
            <w:r>
              <w:rPr>
                <w:rFonts w:hint="eastAsia" w:ascii="宋体" w:hAnsi="宋体" w:eastAsia="宋体" w:cs="宋体"/>
                <w:color w:val="auto"/>
                <w:sz w:val="20"/>
                <w:szCs w:val="20"/>
                <w:highlight w:val="none"/>
              </w:rPr>
              <w:t>第六条　</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firstLine="0"/>
              <w:jc w:val="both"/>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地名命名、更名的审批权限和程序如下：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color w:val="auto"/>
                <w:sz w:val="20"/>
                <w:szCs w:val="20"/>
                <w:highlight w:val="none"/>
                <w:lang w:val="en-US" w:eastAsia="zh-CN"/>
              </w:rPr>
              <w:t>(六）</w:t>
            </w:r>
            <w:r>
              <w:rPr>
                <w:rFonts w:hint="eastAsia" w:ascii="宋体" w:hAnsi="宋体" w:eastAsia="宋体" w:cs="宋体"/>
                <w:color w:val="auto"/>
                <w:sz w:val="20"/>
                <w:szCs w:val="20"/>
                <w:highlight w:val="none"/>
              </w:rPr>
              <w:t>城镇街道名称，由直辖市、市、县人民政府审批。</w:t>
            </w:r>
          </w:p>
        </w:tc>
        <w:tc>
          <w:tcPr>
            <w:tcW w:w="246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color w:val="auto"/>
                <w:sz w:val="20"/>
                <w:szCs w:val="20"/>
                <w:highlight w:val="none"/>
                <w:lang w:val="en-US" w:eastAsia="zh-CN"/>
              </w:rPr>
              <w:t>1.受理责任：对申请人提交材料进行审查，材料齐备的，予以受理；申请材料不齐全或者不符合申请办理程序的,应告知申请人补齐资料或申请办理的相关程序。 2.审查责任：对申请人提交的材料内容进行真实性审查。依法需要对申请材料的实质内容进行核实的，进行入户调查、走访核实。 3.上报责任：符合办理条件的，及时上报，不符合条件的，不予办理。 4.其他：法律法规规章规定应履行的责任。</w:t>
            </w:r>
          </w:p>
        </w:tc>
        <w:tc>
          <w:tcPr>
            <w:tcW w:w="287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color w:val="auto"/>
                <w:sz w:val="20"/>
                <w:szCs w:val="20"/>
                <w:highlight w:val="none"/>
                <w:lang w:val="en-US" w:eastAsia="zh-CN"/>
              </w:rPr>
              <w:t>《山西省地名管理办法》第24条（二）擅自命名、更名的，责令停止使用，拒不执行的，对个人处50元以上500元以下罚款；对单位处500元以上1000元以下罚款，并强制改正；对前款规定罚款，单位不超过10</w:t>
            </w:r>
            <w:r>
              <w:rPr>
                <w:rFonts w:hint="eastAsia" w:ascii="宋体" w:hAnsi="宋体" w:eastAsia="宋体" w:cs="宋体"/>
                <w:sz w:val="20"/>
                <w:szCs w:val="20"/>
                <w:highlight w:val="none"/>
                <w:lang w:val="en-US" w:eastAsia="zh-CN"/>
              </w:rPr>
              <w:t>《行政处罚法》第36条：除本法第三十三条规定的可以当场作出的行政处罚外，行政机关发现 公民、法人或者其他组织有依法应当给予行政处罚的行为的，必须全面、客观、公正地调查，收集有关证据；必要时，依照法律、法规的规定，可以进行检查。第37条：行政机关在调查或者进行检查时，执法人员不得少于两人，并应当向当事人或者有关人员出示证件。当事人或者有关人员应当如实回答询问，并协助调查或者检查，不得阻挠。询问或者检查应当制作笔录。第39条行政机关依照本法第三十八条的规定给予行政处罚，应当制作行政处罚决定书。行政处罚决定书必须盖有作出行政处罚决定的行政机关的印章。 第42条行政机关作出责令停产停业、吊销许可证或者执照、较大数额罚款等行政处罚决定之前，应当告知当事人有要求举行听证的权利；当事人要求听证的，行政机关应当组织听证。</w:t>
            </w:r>
            <w:r>
              <w:rPr>
                <w:rFonts w:hint="eastAsia" w:ascii="宋体" w:hAnsi="宋体" w:eastAsia="宋体" w:cs="宋体"/>
                <w:color w:val="auto"/>
                <w:sz w:val="20"/>
                <w:szCs w:val="20"/>
                <w:highlight w:val="none"/>
                <w:lang w:val="en-US" w:eastAsia="zh-CN"/>
              </w:rPr>
              <w:t>00元，个人不超过500元。</w:t>
            </w:r>
          </w:p>
        </w:tc>
        <w:tc>
          <w:tcPr>
            <w:tcW w:w="87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5194"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70"/>
        <w:gridCol w:w="884"/>
        <w:gridCol w:w="816"/>
        <w:gridCol w:w="3767"/>
        <w:gridCol w:w="2450"/>
        <w:gridCol w:w="2867"/>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083"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884"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1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6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4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86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1095"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70"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884"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1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6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4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86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095"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0700-H-00100-140581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养老机构个人</w:t>
            </w:r>
            <w:r>
              <w:rPr>
                <w:rFonts w:hint="eastAsia" w:ascii="宋体" w:hAnsi="宋体" w:eastAsia="宋体" w:cs="宋体"/>
                <w:bCs/>
                <w:color w:val="auto"/>
                <w:sz w:val="20"/>
                <w:szCs w:val="20"/>
                <w:highlight w:val="none"/>
              </w:rPr>
              <w:t>表彰</w:t>
            </w:r>
            <w:r>
              <w:rPr>
                <w:rFonts w:hint="eastAsia" w:ascii="宋体" w:hAnsi="宋体" w:eastAsia="宋体" w:cs="宋体"/>
                <w:bCs/>
                <w:color w:val="auto"/>
                <w:sz w:val="20"/>
                <w:szCs w:val="20"/>
                <w:highlight w:val="none"/>
                <w:lang w:eastAsia="zh-CN"/>
              </w:rPr>
              <w:t>和奖励</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8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行政奖励</w:t>
            </w:r>
          </w:p>
        </w:tc>
        <w:tc>
          <w:tcPr>
            <w:tcW w:w="3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val="en-US" w:eastAsia="zh-CN"/>
              </w:rPr>
            </w:pPr>
            <w:r>
              <w:rPr>
                <w:rFonts w:hint="eastAsia" w:ascii="宋体" w:hAnsi="宋体" w:eastAsia="宋体" w:cs="宋体"/>
                <w:bCs/>
                <w:color w:val="auto"/>
                <w:sz w:val="20"/>
                <w:szCs w:val="20"/>
                <w:highlight w:val="none"/>
                <w:lang w:val="en-US" w:eastAsia="zh-CN"/>
              </w:rPr>
              <w:t>《养老机构管理办法》</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第八条</w:t>
            </w:r>
            <w:r>
              <w:rPr>
                <w:rFonts w:hint="eastAsia" w:ascii="宋体" w:hAnsi="宋体" w:eastAsia="宋体" w:cs="宋体"/>
                <w:bCs/>
                <w:color w:val="auto"/>
                <w:sz w:val="20"/>
                <w:szCs w:val="20"/>
                <w:highlight w:val="none"/>
              </w:rPr>
              <w:t>民政部门对在养老机构服务和</w:t>
            </w:r>
            <w:r>
              <w:rPr>
                <w:rFonts w:hint="eastAsia" w:ascii="宋体" w:hAnsi="宋体" w:eastAsia="宋体" w:cs="宋体"/>
                <w:bCs/>
                <w:color w:val="auto"/>
                <w:sz w:val="20"/>
                <w:szCs w:val="20"/>
                <w:highlight w:val="none"/>
                <w:lang w:val="en-US" w:eastAsia="zh-CN"/>
              </w:rPr>
              <w:t>管</w:t>
            </w:r>
            <w:r>
              <w:rPr>
                <w:rFonts w:hint="eastAsia" w:ascii="宋体" w:hAnsi="宋体" w:eastAsia="宋体" w:cs="宋体"/>
                <w:bCs/>
                <w:color w:val="auto"/>
                <w:sz w:val="20"/>
                <w:szCs w:val="20"/>
                <w:highlight w:val="none"/>
              </w:rPr>
              <w:t>理工作中做出显著成绩的单位和个</w:t>
            </w:r>
            <w:r>
              <w:rPr>
                <w:rFonts w:hint="eastAsia" w:ascii="宋体" w:hAnsi="宋体" w:eastAsia="宋体" w:cs="宋体"/>
                <w:bCs/>
                <w:color w:val="auto"/>
                <w:sz w:val="20"/>
                <w:szCs w:val="20"/>
                <w:highlight w:val="none"/>
                <w:lang w:val="en-US" w:eastAsia="zh-CN"/>
              </w:rPr>
              <w:t>人，</w:t>
            </w:r>
            <w:r>
              <w:rPr>
                <w:rFonts w:hint="eastAsia" w:ascii="宋体" w:hAnsi="宋体" w:eastAsia="宋体" w:cs="宋体"/>
                <w:bCs/>
                <w:color w:val="auto"/>
                <w:sz w:val="20"/>
                <w:szCs w:val="20"/>
                <w:highlight w:val="none"/>
              </w:rPr>
              <w:t>依照国家有关规定给予表彰和奖励。</w:t>
            </w: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1.制定方案责任：根据省市民政精神，制定表彰方案。 2.组织推荐责任：严格按照表彰方案规定的条件、程序，组织推荐工作，对推荐对象进行初审。 3.审核公示责任：对符合条件的推荐对象进行审核，并进行公示。 4.表彰责任：按照程序报请局务会研究表彰。 5.其他：法律法规规章规定应履行的责任。</w:t>
            </w:r>
          </w:p>
        </w:tc>
        <w:tc>
          <w:tcPr>
            <w:tcW w:w="28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《养老机构管理办法》第八条民政部</w:t>
            </w:r>
            <w:r>
              <w:rPr>
                <w:rFonts w:hint="eastAsia" w:ascii="宋体" w:hAnsi="宋体" w:eastAsia="宋体" w:cs="宋体"/>
                <w:bCs/>
                <w:color w:val="auto"/>
                <w:sz w:val="20"/>
                <w:szCs w:val="20"/>
                <w:highlight w:val="none"/>
              </w:rPr>
              <w:t>门对在养老机构服务和管理工作中做出显著成绩的单位和个人，依照国家有关规定给予表彰和奖励。</w:t>
            </w:r>
          </w:p>
        </w:tc>
        <w:tc>
          <w:tcPr>
            <w:tcW w:w="109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5215"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70"/>
        <w:gridCol w:w="900"/>
        <w:gridCol w:w="800"/>
        <w:gridCol w:w="3767"/>
        <w:gridCol w:w="2450"/>
        <w:gridCol w:w="2873"/>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事项编码</w:t>
            </w:r>
          </w:p>
        </w:tc>
        <w:tc>
          <w:tcPr>
            <w:tcW w:w="2083" w:type="dxa"/>
            <w:gridSpan w:val="2"/>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事项名称</w:t>
            </w:r>
          </w:p>
        </w:tc>
        <w:tc>
          <w:tcPr>
            <w:tcW w:w="900"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实施主体</w:t>
            </w:r>
          </w:p>
        </w:tc>
        <w:tc>
          <w:tcPr>
            <w:tcW w:w="800"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事项类别</w:t>
            </w:r>
          </w:p>
        </w:tc>
        <w:tc>
          <w:tcPr>
            <w:tcW w:w="3767"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事项依据</w:t>
            </w:r>
          </w:p>
        </w:tc>
        <w:tc>
          <w:tcPr>
            <w:tcW w:w="2450"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责任事项</w:t>
            </w:r>
          </w:p>
        </w:tc>
        <w:tc>
          <w:tcPr>
            <w:tcW w:w="2873"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责任事项依据</w:t>
            </w:r>
          </w:p>
        </w:tc>
        <w:tc>
          <w:tcPr>
            <w:tcW w:w="1110"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rPr>
            </w:pPr>
          </w:p>
        </w:tc>
        <w:tc>
          <w:tcPr>
            <w:tcW w:w="1113" w:type="dxa"/>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大项</w:t>
            </w:r>
          </w:p>
        </w:tc>
        <w:tc>
          <w:tcPr>
            <w:tcW w:w="970" w:type="dxa"/>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子项</w:t>
            </w:r>
          </w:p>
        </w:tc>
        <w:tc>
          <w:tcPr>
            <w:tcW w:w="900" w:type="dxa"/>
            <w:vMerge w:val="continue"/>
            <w:vAlign w:val="center"/>
          </w:tcPr>
          <w:p>
            <w:pPr>
              <w:spacing w:beforeLines="50" w:afterLines="50"/>
              <w:jc w:val="center"/>
              <w:rPr>
                <w:rFonts w:hint="eastAsia" w:ascii="宋体" w:hAnsi="宋体" w:eastAsia="宋体" w:cs="宋体"/>
                <w:b/>
                <w:bCs/>
                <w:color w:val="auto"/>
                <w:sz w:val="24"/>
                <w:szCs w:val="24"/>
              </w:rPr>
            </w:pPr>
          </w:p>
        </w:tc>
        <w:tc>
          <w:tcPr>
            <w:tcW w:w="800" w:type="dxa"/>
            <w:vMerge w:val="continue"/>
            <w:vAlign w:val="center"/>
          </w:tcPr>
          <w:p>
            <w:pPr>
              <w:spacing w:beforeLines="50" w:afterLines="50"/>
              <w:jc w:val="center"/>
              <w:rPr>
                <w:rFonts w:hint="eastAsia" w:ascii="宋体" w:hAnsi="宋体" w:eastAsia="宋体" w:cs="宋体"/>
                <w:b/>
                <w:bCs/>
                <w:color w:val="auto"/>
                <w:sz w:val="24"/>
                <w:szCs w:val="24"/>
              </w:rPr>
            </w:pPr>
          </w:p>
        </w:tc>
        <w:tc>
          <w:tcPr>
            <w:tcW w:w="3767" w:type="dxa"/>
            <w:vMerge w:val="continue"/>
            <w:vAlign w:val="center"/>
          </w:tcPr>
          <w:p>
            <w:pPr>
              <w:spacing w:beforeLines="50" w:afterLines="50"/>
              <w:jc w:val="center"/>
              <w:rPr>
                <w:rFonts w:hint="eastAsia" w:ascii="宋体" w:hAnsi="宋体" w:eastAsia="宋体" w:cs="宋体"/>
                <w:b/>
                <w:bCs/>
                <w:color w:val="auto"/>
                <w:sz w:val="24"/>
                <w:szCs w:val="24"/>
              </w:rPr>
            </w:pPr>
          </w:p>
        </w:tc>
        <w:tc>
          <w:tcPr>
            <w:tcW w:w="2450" w:type="dxa"/>
            <w:vMerge w:val="continue"/>
            <w:vAlign w:val="center"/>
          </w:tcPr>
          <w:p>
            <w:pPr>
              <w:spacing w:beforeLines="50" w:afterLines="50"/>
              <w:jc w:val="center"/>
              <w:rPr>
                <w:rFonts w:hint="eastAsia" w:ascii="宋体" w:hAnsi="宋体" w:eastAsia="宋体" w:cs="宋体"/>
                <w:b/>
                <w:bCs/>
                <w:color w:val="auto"/>
                <w:sz w:val="24"/>
                <w:szCs w:val="24"/>
              </w:rPr>
            </w:pPr>
          </w:p>
        </w:tc>
        <w:tc>
          <w:tcPr>
            <w:tcW w:w="2873" w:type="dxa"/>
            <w:vMerge w:val="continue"/>
            <w:vAlign w:val="center"/>
          </w:tcPr>
          <w:p>
            <w:pPr>
              <w:spacing w:beforeLines="50" w:afterLines="50"/>
              <w:jc w:val="center"/>
              <w:rPr>
                <w:rFonts w:hint="eastAsia" w:ascii="宋体" w:hAnsi="宋体" w:eastAsia="宋体" w:cs="宋体"/>
                <w:b/>
                <w:bCs/>
                <w:color w:val="auto"/>
                <w:sz w:val="24"/>
                <w:szCs w:val="24"/>
              </w:rPr>
            </w:pPr>
          </w:p>
        </w:tc>
        <w:tc>
          <w:tcPr>
            <w:tcW w:w="1110" w:type="dxa"/>
            <w:vMerge w:val="continue"/>
            <w:vAlign w:val="center"/>
          </w:tcPr>
          <w:p>
            <w:pPr>
              <w:spacing w:beforeLines="50" w:afterLines="50"/>
              <w:jc w:val="center"/>
              <w:rPr>
                <w:rFonts w:hint="eastAsia" w:ascii="宋体" w:hAnsi="宋体" w:eastAsia="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0700-H-00300-140581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社会救助先进表彰</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高平市民政局</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lang w:val="en-US" w:eastAsia="zh-CN"/>
              </w:rPr>
              <w:t>行政奖励</w:t>
            </w:r>
          </w:p>
        </w:tc>
        <w:tc>
          <w:tcPr>
            <w:tcW w:w="3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lang w:eastAsia="zh-CN"/>
              </w:rPr>
              <w:t>《</w:t>
            </w:r>
            <w:r>
              <w:rPr>
                <w:rFonts w:hint="eastAsia" w:ascii="宋体" w:hAnsi="宋体" w:eastAsia="宋体" w:cs="宋体"/>
                <w:bCs/>
                <w:color w:val="auto"/>
                <w:sz w:val="20"/>
                <w:szCs w:val="20"/>
                <w:lang w:val="en-US" w:eastAsia="zh-CN"/>
              </w:rPr>
              <w:t>社会救助暂行办法</w:t>
            </w:r>
            <w:r>
              <w:rPr>
                <w:rFonts w:hint="eastAsia" w:ascii="宋体" w:hAnsi="宋体" w:eastAsia="宋体" w:cs="宋体"/>
                <w:bCs/>
                <w:color w:val="auto"/>
                <w:sz w:val="20"/>
                <w:szCs w:val="20"/>
                <w:lang w:eastAsia="zh-CN"/>
              </w:rPr>
              <w:t>》</w:t>
            </w:r>
            <w:r>
              <w:rPr>
                <w:rFonts w:hint="eastAsia" w:ascii="宋体" w:hAnsi="宋体" w:eastAsia="宋体" w:cs="宋体"/>
                <w:bCs/>
                <w:color w:val="auto"/>
                <w:sz w:val="20"/>
                <w:szCs w:val="20"/>
                <w:lang w:val="en-US" w:eastAsia="zh-CN"/>
              </w:rPr>
              <w:t>第八条</w:t>
            </w:r>
            <w:r>
              <w:rPr>
                <w:rFonts w:hint="eastAsia" w:ascii="宋体" w:hAnsi="宋体" w:eastAsia="宋体" w:cs="宋体"/>
                <w:bCs/>
                <w:color w:val="auto"/>
                <w:sz w:val="20"/>
                <w:szCs w:val="20"/>
              </w:rPr>
              <w:t>在社会救助工作中作出显著成绩的单位、个人，按照国家有关规定给予表彰、奖励。</w:t>
            </w:r>
          </w:p>
        </w:tc>
        <w:tc>
          <w:tcPr>
            <w:tcW w:w="24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lang w:val="en-US" w:eastAsia="zh-CN"/>
              </w:rPr>
              <w:t>1.制定方案责任：根据省市民政精神，制定表彰方案。 2.组织推荐责任：严格按照表彰方案规定的条件、程序，组织推荐工作，对推荐对象进行初审。 3.审核公示责任：对符合条件的推荐对象进行审核，并进行公示。 4.表彰责任：按照程序报请局务会研究表彰。 5.其他：法律法规规章规定应履行的责任。</w:t>
            </w:r>
          </w:p>
        </w:tc>
        <w:tc>
          <w:tcPr>
            <w:tcW w:w="287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lang w:val="en-US" w:eastAsia="zh-CN"/>
              </w:rPr>
              <w:t>《社会救助暂行办法</w:t>
            </w:r>
            <w:r>
              <w:rPr>
                <w:rFonts w:hint="eastAsia" w:ascii="宋体" w:hAnsi="宋体" w:eastAsia="宋体" w:cs="宋体"/>
                <w:bCs/>
                <w:color w:val="auto"/>
                <w:sz w:val="20"/>
                <w:szCs w:val="20"/>
                <w:lang w:eastAsia="zh-CN"/>
              </w:rPr>
              <w:t>》</w:t>
            </w:r>
            <w:r>
              <w:rPr>
                <w:rFonts w:hint="eastAsia" w:ascii="宋体" w:hAnsi="宋体" w:eastAsia="宋体" w:cs="宋体"/>
                <w:bCs/>
                <w:color w:val="auto"/>
                <w:sz w:val="20"/>
                <w:szCs w:val="20"/>
                <w:lang w:val="en-US" w:eastAsia="zh-CN"/>
              </w:rPr>
              <w:t>第八条</w:t>
            </w:r>
            <w:r>
              <w:rPr>
                <w:rFonts w:hint="eastAsia" w:ascii="宋体" w:hAnsi="宋体" w:eastAsia="宋体" w:cs="宋体"/>
                <w:bCs/>
                <w:color w:val="auto"/>
                <w:sz w:val="20"/>
                <w:szCs w:val="20"/>
              </w:rPr>
              <w:t>在社会救助工作中作出显著成绩的单位、个人，按照国家有关规定给予表彰、奖励。</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18"/>
                <w:szCs w:val="18"/>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5199"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70"/>
        <w:gridCol w:w="917"/>
        <w:gridCol w:w="767"/>
        <w:gridCol w:w="3766"/>
        <w:gridCol w:w="2500"/>
        <w:gridCol w:w="2840"/>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事项编码</w:t>
            </w:r>
          </w:p>
        </w:tc>
        <w:tc>
          <w:tcPr>
            <w:tcW w:w="2083" w:type="dxa"/>
            <w:gridSpan w:val="2"/>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事项名称</w:t>
            </w:r>
          </w:p>
        </w:tc>
        <w:tc>
          <w:tcPr>
            <w:tcW w:w="917"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实施主体</w:t>
            </w:r>
          </w:p>
        </w:tc>
        <w:tc>
          <w:tcPr>
            <w:tcW w:w="767"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事项类别</w:t>
            </w:r>
          </w:p>
        </w:tc>
        <w:tc>
          <w:tcPr>
            <w:tcW w:w="3766"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事项依据</w:t>
            </w:r>
          </w:p>
        </w:tc>
        <w:tc>
          <w:tcPr>
            <w:tcW w:w="2500"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责任事项</w:t>
            </w:r>
          </w:p>
        </w:tc>
        <w:tc>
          <w:tcPr>
            <w:tcW w:w="2840"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责任事项依据</w:t>
            </w:r>
          </w:p>
        </w:tc>
        <w:tc>
          <w:tcPr>
            <w:tcW w:w="1094"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rPr>
            </w:pPr>
          </w:p>
        </w:tc>
        <w:tc>
          <w:tcPr>
            <w:tcW w:w="1113" w:type="dxa"/>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大项</w:t>
            </w:r>
          </w:p>
        </w:tc>
        <w:tc>
          <w:tcPr>
            <w:tcW w:w="970" w:type="dxa"/>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子项</w:t>
            </w:r>
          </w:p>
        </w:tc>
        <w:tc>
          <w:tcPr>
            <w:tcW w:w="917" w:type="dxa"/>
            <w:vMerge w:val="continue"/>
            <w:vAlign w:val="center"/>
          </w:tcPr>
          <w:p>
            <w:pPr>
              <w:spacing w:beforeLines="50" w:afterLines="50"/>
              <w:jc w:val="center"/>
              <w:rPr>
                <w:rFonts w:hint="eastAsia" w:ascii="宋体" w:hAnsi="宋体" w:eastAsia="宋体" w:cs="宋体"/>
                <w:b/>
                <w:bCs/>
                <w:color w:val="auto"/>
                <w:sz w:val="24"/>
                <w:szCs w:val="24"/>
              </w:rPr>
            </w:pPr>
          </w:p>
        </w:tc>
        <w:tc>
          <w:tcPr>
            <w:tcW w:w="767" w:type="dxa"/>
            <w:vMerge w:val="continue"/>
            <w:vAlign w:val="center"/>
          </w:tcPr>
          <w:p>
            <w:pPr>
              <w:spacing w:beforeLines="50" w:afterLines="50"/>
              <w:jc w:val="center"/>
              <w:rPr>
                <w:rFonts w:hint="eastAsia" w:ascii="宋体" w:hAnsi="宋体" w:eastAsia="宋体" w:cs="宋体"/>
                <w:b/>
                <w:bCs/>
                <w:color w:val="auto"/>
                <w:sz w:val="24"/>
                <w:szCs w:val="24"/>
              </w:rPr>
            </w:pPr>
          </w:p>
        </w:tc>
        <w:tc>
          <w:tcPr>
            <w:tcW w:w="3766" w:type="dxa"/>
            <w:vMerge w:val="continue"/>
            <w:vAlign w:val="center"/>
          </w:tcPr>
          <w:p>
            <w:pPr>
              <w:spacing w:beforeLines="50" w:afterLines="50"/>
              <w:jc w:val="center"/>
              <w:rPr>
                <w:rFonts w:hint="eastAsia" w:ascii="宋体" w:hAnsi="宋体" w:eastAsia="宋体" w:cs="宋体"/>
                <w:b/>
                <w:bCs/>
                <w:color w:val="auto"/>
                <w:sz w:val="24"/>
                <w:szCs w:val="24"/>
              </w:rPr>
            </w:pPr>
          </w:p>
        </w:tc>
        <w:tc>
          <w:tcPr>
            <w:tcW w:w="2500" w:type="dxa"/>
            <w:vMerge w:val="continue"/>
            <w:vAlign w:val="center"/>
          </w:tcPr>
          <w:p>
            <w:pPr>
              <w:spacing w:beforeLines="50" w:afterLines="50"/>
              <w:jc w:val="center"/>
              <w:rPr>
                <w:rFonts w:hint="eastAsia" w:ascii="宋体" w:hAnsi="宋体" w:eastAsia="宋体" w:cs="宋体"/>
                <w:b/>
                <w:bCs/>
                <w:color w:val="auto"/>
                <w:sz w:val="24"/>
                <w:szCs w:val="24"/>
              </w:rPr>
            </w:pPr>
          </w:p>
        </w:tc>
        <w:tc>
          <w:tcPr>
            <w:tcW w:w="2840" w:type="dxa"/>
            <w:vMerge w:val="continue"/>
            <w:vAlign w:val="center"/>
          </w:tcPr>
          <w:p>
            <w:pPr>
              <w:spacing w:beforeLines="50" w:afterLines="50"/>
              <w:jc w:val="center"/>
              <w:rPr>
                <w:rFonts w:hint="eastAsia" w:ascii="宋体" w:hAnsi="宋体" w:eastAsia="宋体" w:cs="宋体"/>
                <w:b/>
                <w:bCs/>
                <w:color w:val="auto"/>
                <w:sz w:val="24"/>
                <w:szCs w:val="24"/>
              </w:rPr>
            </w:pPr>
          </w:p>
        </w:tc>
        <w:tc>
          <w:tcPr>
            <w:tcW w:w="1094" w:type="dxa"/>
            <w:vMerge w:val="continue"/>
            <w:vAlign w:val="center"/>
          </w:tcPr>
          <w:p>
            <w:pPr>
              <w:spacing w:beforeLines="50" w:afterLines="50"/>
              <w:jc w:val="center"/>
              <w:rPr>
                <w:rFonts w:hint="eastAsia" w:ascii="宋体" w:hAnsi="宋体" w:eastAsia="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0700-H-00400-140581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慈善表彰</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p>
        </w:tc>
        <w:tc>
          <w:tcPr>
            <w:tcW w:w="9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高平市民政局</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行政奖励</w:t>
            </w:r>
          </w:p>
        </w:tc>
        <w:tc>
          <w:tcPr>
            <w:tcW w:w="37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highlight w:val="none"/>
              </w:rPr>
              <w:t>《中华人民共和国</w:t>
            </w:r>
            <w:r>
              <w:rPr>
                <w:rFonts w:hint="eastAsia" w:ascii="宋体" w:hAnsi="宋体" w:eastAsia="宋体" w:cs="宋体"/>
                <w:bCs/>
                <w:color w:val="auto"/>
                <w:sz w:val="20"/>
                <w:szCs w:val="20"/>
                <w:highlight w:val="none"/>
                <w:lang w:eastAsia="zh-CN"/>
              </w:rPr>
              <w:t>慈善法</w:t>
            </w:r>
            <w:r>
              <w:rPr>
                <w:rFonts w:hint="eastAsia" w:ascii="宋体" w:hAnsi="宋体" w:eastAsia="宋体" w:cs="宋体"/>
                <w:bCs/>
                <w:color w:val="auto"/>
                <w:sz w:val="20"/>
                <w:szCs w:val="20"/>
                <w:highlight w:val="none"/>
              </w:rPr>
              <w:t>》</w:t>
            </w:r>
            <w:r>
              <w:rPr>
                <w:rFonts w:hint="eastAsia" w:ascii="宋体" w:hAnsi="宋体" w:eastAsia="宋体" w:cs="宋体"/>
                <w:bCs/>
                <w:color w:val="auto"/>
                <w:sz w:val="20"/>
                <w:szCs w:val="20"/>
              </w:rPr>
              <w:t>第九十一条国家建立慈善表彰制度，对在慈善事业发展中做出突出贡献的自然人、法人和其他组织，由县级以上人民政府或者有关部门予以表彰。</w:t>
            </w:r>
          </w:p>
        </w:tc>
        <w:tc>
          <w:tcPr>
            <w:tcW w:w="25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1.制定方案责任：根据省市民政精神，制定表彰方案。 2.组织推荐责任：严格按照表彰方案规定的条件、程序，组织推荐工作，对推荐对象进行初审。 3.审核公示责任：对符合条件的推荐对象进行审核，并进行公示。 4.表彰责任：按照程序报请局务会研究表彰。 5.其他：法律法规规章规定应履行的责任。</w:t>
            </w:r>
          </w:p>
        </w:tc>
        <w:tc>
          <w:tcPr>
            <w:tcW w:w="28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《中华人民共和国》第九十一条国家建立慈善表彰制度，对在慈善事业发展中做出突出贡献的自然人、法人和其他组织，由县级以上人民政府或者有关部门予以表彰。</w:t>
            </w:r>
          </w:p>
        </w:tc>
        <w:tc>
          <w:tcPr>
            <w:tcW w:w="10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auto"/>
                <w:sz w:val="20"/>
                <w:szCs w:val="20"/>
              </w:rPr>
            </w:pPr>
          </w:p>
        </w:tc>
      </w:tr>
    </w:tbl>
    <w:p>
      <w:pPr>
        <w:spacing w:beforeLines="50" w:afterLines="50"/>
        <w:rPr>
          <w:rFonts w:ascii="仿宋" w:hAnsi="仿宋" w:eastAsia="仿宋" w:cs="仿宋"/>
          <w:b/>
          <w:bCs/>
          <w:color w:val="auto"/>
          <w:sz w:val="32"/>
          <w:szCs w:val="32"/>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5232"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87"/>
        <w:gridCol w:w="917"/>
        <w:gridCol w:w="750"/>
        <w:gridCol w:w="3766"/>
        <w:gridCol w:w="2500"/>
        <w:gridCol w:w="284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100"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7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6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5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84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112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87"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7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6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5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84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2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232"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ascii="微软雅黑" w:hAnsi="微软雅黑" w:eastAsia="微软雅黑" w:cs="微软雅黑"/>
                <w:i w:val="0"/>
                <w:iCs w:val="0"/>
                <w:caps w:val="0"/>
                <w:color w:val="auto"/>
                <w:spacing w:val="0"/>
                <w:sz w:val="21"/>
                <w:szCs w:val="21"/>
                <w:shd w:val="clear" w:fill="FFFFFF"/>
              </w:rPr>
              <w:t>0700-H-00200-140581</w:t>
            </w:r>
          </w:p>
        </w:tc>
        <w:tc>
          <w:tcPr>
            <w:tcW w:w="111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特困人员救助供养工作先进单位、个人表彰和奖励</w:t>
            </w:r>
          </w:p>
        </w:tc>
        <w:tc>
          <w:tcPr>
            <w:tcW w:w="98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91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75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行政奖励</w:t>
            </w:r>
          </w:p>
        </w:tc>
        <w:tc>
          <w:tcPr>
            <w:tcW w:w="3766"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《农村五保供养工作条例》第五条 国家对在农村五保供养工作中做出显著成绩的单位和个人，给予表彰和奖励。</w:t>
            </w:r>
          </w:p>
        </w:tc>
        <w:tc>
          <w:tcPr>
            <w:tcW w:w="250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1.制定方案责任：根据省市民政精神，制定表彰方案。 2.组织推荐责任：严格按照表彰方案规定的条件、程序，组织推荐工作，对推荐对象进行初审。 3.审核公示责任：对符合条件的推荐对象进行审核，并进行公示。 4.表彰责任：按照程序报请局务会研究表彰。 5.其他：法律法规规章规定应履行的责任。</w:t>
            </w:r>
          </w:p>
        </w:tc>
        <w:tc>
          <w:tcPr>
            <w:tcW w:w="2840" w:type="dxa"/>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exact"/>
              <w:ind w:left="0" w:firstLine="420"/>
              <w:jc w:val="both"/>
              <w:textAlignment w:val="auto"/>
              <w:rPr>
                <w:rFonts w:hint="eastAsia" w:ascii="宋体" w:hAnsi="宋体" w:eastAsia="宋体" w:cs="宋体"/>
                <w:i w:val="0"/>
                <w:iCs w:val="0"/>
                <w:caps w:val="0"/>
                <w:color w:val="333333"/>
                <w:spacing w:val="0"/>
                <w:kern w:val="0"/>
                <w:sz w:val="20"/>
                <w:szCs w:val="20"/>
                <w:highlight w:val="none"/>
                <w:shd w:val="clear" w:fill="FFFFFF"/>
                <w:lang w:val="en-US" w:eastAsia="zh-CN" w:bidi="ar"/>
              </w:rPr>
            </w:pPr>
            <w:r>
              <w:rPr>
                <w:rFonts w:hint="eastAsia" w:ascii="宋体" w:hAnsi="宋体" w:eastAsia="宋体" w:cs="宋体"/>
                <w:i w:val="0"/>
                <w:iCs w:val="0"/>
                <w:caps w:val="0"/>
                <w:color w:val="333333"/>
                <w:spacing w:val="0"/>
                <w:kern w:val="0"/>
                <w:sz w:val="20"/>
                <w:szCs w:val="20"/>
                <w:highlight w:val="none"/>
                <w:shd w:val="clear" w:fill="FFFFFF"/>
                <w:lang w:val="en-US" w:eastAsia="zh-CN" w:bidi="ar"/>
              </w:rPr>
              <w:t>《中华人民共和国公务员法》第五十一条　对工作表现突出，有显著成绩和贡献，或者有其他突出事迹的公务员或者公务员集体，给予奖励。奖励坚持定期奖励与及时奖励相结合，精神奖励与物质奖励相结合、以精神奖励为主的原则。公务员集体的奖励适用于按照编制序列设置的机构或者为完成专项任务组成的工作集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exact"/>
              <w:ind w:left="0" w:firstLine="420"/>
              <w:jc w:val="both"/>
              <w:textAlignment w:val="auto"/>
              <w:rPr>
                <w:rFonts w:hint="eastAsia" w:ascii="宋体" w:hAnsi="宋体" w:eastAsia="宋体" w:cs="宋体"/>
                <w:i w:val="0"/>
                <w:iCs w:val="0"/>
                <w:caps w:val="0"/>
                <w:color w:val="333333"/>
                <w:spacing w:val="0"/>
                <w:sz w:val="20"/>
                <w:szCs w:val="20"/>
                <w:highlight w:val="none"/>
              </w:rPr>
            </w:pPr>
            <w:r>
              <w:rPr>
                <w:rFonts w:hint="eastAsia" w:ascii="宋体" w:hAnsi="宋体" w:eastAsia="宋体" w:cs="宋体"/>
                <w:i w:val="0"/>
                <w:iCs w:val="0"/>
                <w:caps w:val="0"/>
                <w:color w:val="333333"/>
                <w:spacing w:val="0"/>
                <w:kern w:val="0"/>
                <w:sz w:val="20"/>
                <w:szCs w:val="20"/>
                <w:highlight w:val="none"/>
                <w:shd w:val="clear" w:fill="FFFFFF"/>
                <w:lang w:val="en-US" w:eastAsia="zh-CN" w:bidi="ar"/>
              </w:rPr>
              <w:t>第五十二条　公务员或者公务员集体有下列情形之一的，给予奖励：（一）忠于职守，积极工作，勇于担当，工作实绩显著的；（二）遵纪守法，廉洁奉公，作风正派，办事公道，模范作用突出的；（三）在工作中有发明创造或者提出合理化建议，取得显著经济效益或者社会效益的；（四）为增进民族团结，维护社会稳定做出突出贡献的；（五）爱护公共财产，节约国家资财有突出成绩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240" w:lineRule="exact"/>
              <w:ind w:left="0" w:firstLine="420"/>
              <w:jc w:val="both"/>
              <w:textAlignment w:val="auto"/>
              <w:rPr>
                <w:rFonts w:hint="eastAsia" w:ascii="宋体" w:hAnsi="宋体" w:eastAsia="宋体" w:cs="宋体"/>
                <w:i w:val="0"/>
                <w:iCs w:val="0"/>
                <w:caps w:val="0"/>
                <w:color w:val="333333"/>
                <w:spacing w:val="0"/>
                <w:sz w:val="20"/>
                <w:szCs w:val="20"/>
                <w:highlight w:val="none"/>
              </w:rPr>
            </w:pPr>
            <w:r>
              <w:rPr>
                <w:rFonts w:hint="eastAsia" w:ascii="宋体" w:hAnsi="宋体" w:eastAsia="宋体" w:cs="宋体"/>
                <w:i w:val="0"/>
                <w:iCs w:val="0"/>
                <w:caps w:val="0"/>
                <w:color w:val="333333"/>
                <w:spacing w:val="0"/>
                <w:kern w:val="0"/>
                <w:sz w:val="20"/>
                <w:szCs w:val="20"/>
                <w:highlight w:val="none"/>
                <w:shd w:val="clear" w:fill="FFFFFF"/>
                <w:lang w:val="en-US" w:eastAsia="zh-CN" w:bidi="ar"/>
              </w:rPr>
              <w:t>（六）防止或者消除事故有功，使国家和人民群众利益免受或者减少损失的；（七）在抢险、救灾等特定环境中做出突出贡献的；（八）同违纪违法行为作斗争有功绩的；（九）在对外交往中为国家争得荣誉和利益的；（十）有其他突出功绩的。</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112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both"/>
        <w:rPr>
          <w:rFonts w:hint="eastAsia" w:ascii="黑体" w:hAnsi="黑体" w:eastAsia="黑体" w:cs="黑体"/>
          <w:b/>
          <w:bCs/>
          <w:color w:val="auto"/>
          <w:sz w:val="44"/>
          <w:szCs w:val="44"/>
        </w:rPr>
      </w:pPr>
    </w:p>
    <w:p>
      <w:pPr>
        <w:spacing w:beforeLines="50" w:afterLines="50"/>
        <w:jc w:val="both"/>
        <w:rPr>
          <w:rFonts w:hint="eastAsia" w:ascii="黑体" w:hAnsi="黑体" w:eastAsia="黑体" w:cs="黑体"/>
          <w:b/>
          <w:bCs/>
          <w:color w:val="auto"/>
          <w:sz w:val="44"/>
          <w:szCs w:val="44"/>
        </w:rPr>
      </w:pPr>
    </w:p>
    <w:p>
      <w:pPr>
        <w:spacing w:beforeLines="50" w:afterLines="50"/>
        <w:jc w:val="both"/>
        <w:rPr>
          <w:rFonts w:hint="eastAsia" w:ascii="黑体" w:hAnsi="黑体" w:eastAsia="黑体" w:cs="黑体"/>
          <w:b/>
          <w:bCs/>
          <w:color w:val="auto"/>
          <w:sz w:val="44"/>
          <w:szCs w:val="44"/>
        </w:rPr>
      </w:pPr>
    </w:p>
    <w:p>
      <w:pPr>
        <w:spacing w:beforeLines="50" w:afterLines="50"/>
        <w:jc w:val="both"/>
        <w:rPr>
          <w:rFonts w:hint="eastAsia" w:ascii="黑体" w:hAnsi="黑体" w:eastAsia="黑体" w:cs="黑体"/>
          <w:b/>
          <w:bCs/>
          <w:color w:val="auto"/>
          <w:sz w:val="44"/>
          <w:szCs w:val="44"/>
        </w:rPr>
      </w:pPr>
    </w:p>
    <w:p>
      <w:pPr>
        <w:spacing w:beforeLines="50" w:afterLines="50"/>
        <w:jc w:val="both"/>
        <w:rPr>
          <w:rFonts w:hint="eastAsia" w:ascii="黑体" w:hAnsi="黑体" w:eastAsia="黑体" w:cs="黑体"/>
          <w:b/>
          <w:bCs/>
          <w:color w:val="auto"/>
          <w:sz w:val="44"/>
          <w:szCs w:val="44"/>
        </w:rPr>
      </w:pPr>
    </w:p>
    <w:p>
      <w:pPr>
        <w:spacing w:beforeLines="50" w:afterLines="50"/>
        <w:jc w:val="both"/>
        <w:rPr>
          <w:rFonts w:hint="eastAsia" w:ascii="黑体" w:hAnsi="黑体" w:eastAsia="黑体" w:cs="黑体"/>
          <w:b/>
          <w:bCs/>
          <w:color w:val="auto"/>
          <w:sz w:val="44"/>
          <w:szCs w:val="44"/>
        </w:rPr>
      </w:pPr>
    </w:p>
    <w:p>
      <w:pPr>
        <w:spacing w:beforeLines="50" w:afterLines="50"/>
        <w:jc w:val="both"/>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5232"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87"/>
        <w:gridCol w:w="933"/>
        <w:gridCol w:w="750"/>
        <w:gridCol w:w="3767"/>
        <w:gridCol w:w="2517"/>
        <w:gridCol w:w="2806"/>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100"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3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7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6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5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80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112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87"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3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7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6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5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80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2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0700-Z-00400-140581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养老机构评估管理</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其他行政权力</w:t>
            </w:r>
          </w:p>
        </w:tc>
        <w:tc>
          <w:tcPr>
            <w:tcW w:w="3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养老机构管理办法</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lang w:val="en-US" w:eastAsia="zh-CN"/>
              </w:rPr>
              <w:t>第29条民政</w:t>
            </w:r>
            <w:r>
              <w:rPr>
                <w:rFonts w:hint="eastAsia" w:ascii="宋体" w:hAnsi="宋体" w:eastAsia="宋体" w:cs="宋体"/>
                <w:bCs/>
                <w:color w:val="auto"/>
                <w:sz w:val="20"/>
                <w:szCs w:val="20"/>
                <w:highlight w:val="none"/>
              </w:rPr>
              <w:t xml:space="preserve">部门应当建立养老机构评估制度，定期对养老机构的人员、设施、服务、管理、信誉等情况进行综合评价。 </w:t>
            </w:r>
          </w:p>
        </w:tc>
        <w:tc>
          <w:tcPr>
            <w:tcW w:w="251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评</w:t>
            </w:r>
            <w:r>
              <w:rPr>
                <w:rFonts w:hint="eastAsia" w:ascii="宋体" w:hAnsi="宋体" w:eastAsia="宋体" w:cs="宋体"/>
                <w:bCs/>
                <w:color w:val="auto"/>
                <w:sz w:val="20"/>
                <w:szCs w:val="20"/>
                <w:highlight w:val="none"/>
                <w:lang w:val="en-US" w:eastAsia="zh-CN"/>
              </w:rPr>
              <w:t>估责任：定期对养老机构的人员、设施、服务、管理、信誉等情况进行综合评价</w:t>
            </w:r>
            <w:r>
              <w:rPr>
                <w:rFonts w:hint="eastAsia" w:ascii="宋体" w:hAnsi="宋体" w:eastAsia="宋体" w:cs="宋体"/>
                <w:b/>
                <w:i w:val="0"/>
                <w:caps w:val="0"/>
                <w:color w:val="auto"/>
                <w:spacing w:val="0"/>
                <w:sz w:val="20"/>
                <w:szCs w:val="20"/>
                <w:highlight w:val="none"/>
              </w:rPr>
              <w:t>。</w:t>
            </w:r>
          </w:p>
        </w:tc>
        <w:tc>
          <w:tcPr>
            <w:tcW w:w="280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养老机构管理办法</w:t>
            </w:r>
            <w:r>
              <w:rPr>
                <w:rFonts w:hint="eastAsia" w:ascii="宋体" w:hAnsi="宋体" w:eastAsia="宋体" w:cs="宋体"/>
                <w:bCs/>
                <w:color w:val="auto"/>
                <w:sz w:val="20"/>
                <w:szCs w:val="20"/>
                <w:highlight w:val="none"/>
                <w:lang w:eastAsia="zh-CN"/>
              </w:rPr>
              <w:t>》</w:t>
            </w:r>
            <w:r>
              <w:rPr>
                <w:rFonts w:hint="eastAsia" w:ascii="宋体" w:hAnsi="宋体" w:eastAsia="宋体" w:cs="宋体"/>
                <w:bCs/>
                <w:color w:val="auto"/>
                <w:sz w:val="20"/>
                <w:szCs w:val="20"/>
                <w:highlight w:val="none"/>
              </w:rPr>
              <w:t>三十四条民政部门及其工作人员违反本办法有关规定，由上级行政机关责令改正；情节严重的，对直接负责的主管人员和其他责任人员依法给予行政处分；构成犯罪的，依法追究刑事责任。</w:t>
            </w:r>
          </w:p>
        </w:tc>
        <w:tc>
          <w:tcPr>
            <w:tcW w:w="112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both"/>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5215"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04"/>
        <w:gridCol w:w="933"/>
        <w:gridCol w:w="767"/>
        <w:gridCol w:w="3733"/>
        <w:gridCol w:w="2533"/>
        <w:gridCol w:w="279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事项编码</w:t>
            </w:r>
          </w:p>
        </w:tc>
        <w:tc>
          <w:tcPr>
            <w:tcW w:w="2117" w:type="dxa"/>
            <w:gridSpan w:val="2"/>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事项名称</w:t>
            </w:r>
          </w:p>
        </w:tc>
        <w:tc>
          <w:tcPr>
            <w:tcW w:w="933"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实施主体</w:t>
            </w:r>
          </w:p>
        </w:tc>
        <w:tc>
          <w:tcPr>
            <w:tcW w:w="767"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事项类别</w:t>
            </w:r>
          </w:p>
        </w:tc>
        <w:tc>
          <w:tcPr>
            <w:tcW w:w="3733"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事项依据</w:t>
            </w:r>
          </w:p>
        </w:tc>
        <w:tc>
          <w:tcPr>
            <w:tcW w:w="2533"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责任事项</w:t>
            </w:r>
          </w:p>
        </w:tc>
        <w:tc>
          <w:tcPr>
            <w:tcW w:w="2790"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责任事项依据</w:t>
            </w:r>
          </w:p>
        </w:tc>
        <w:tc>
          <w:tcPr>
            <w:tcW w:w="1110" w:type="dxa"/>
            <w:vMerge w:val="restart"/>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rPr>
            </w:pPr>
          </w:p>
        </w:tc>
        <w:tc>
          <w:tcPr>
            <w:tcW w:w="1113" w:type="dxa"/>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大项</w:t>
            </w:r>
          </w:p>
        </w:tc>
        <w:tc>
          <w:tcPr>
            <w:tcW w:w="1004" w:type="dxa"/>
            <w:vAlign w:val="center"/>
          </w:tcPr>
          <w:p>
            <w:pPr>
              <w:spacing w:beforeLines="50" w:afterLine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子项</w:t>
            </w:r>
          </w:p>
        </w:tc>
        <w:tc>
          <w:tcPr>
            <w:tcW w:w="933" w:type="dxa"/>
            <w:vMerge w:val="continue"/>
            <w:vAlign w:val="center"/>
          </w:tcPr>
          <w:p>
            <w:pPr>
              <w:spacing w:beforeLines="50" w:afterLines="50"/>
              <w:jc w:val="center"/>
              <w:rPr>
                <w:rFonts w:hint="eastAsia" w:ascii="宋体" w:hAnsi="宋体" w:eastAsia="宋体" w:cs="宋体"/>
                <w:b/>
                <w:bCs/>
                <w:color w:val="auto"/>
                <w:sz w:val="24"/>
                <w:szCs w:val="24"/>
              </w:rPr>
            </w:pPr>
          </w:p>
        </w:tc>
        <w:tc>
          <w:tcPr>
            <w:tcW w:w="767" w:type="dxa"/>
            <w:vMerge w:val="continue"/>
            <w:vAlign w:val="center"/>
          </w:tcPr>
          <w:p>
            <w:pPr>
              <w:spacing w:beforeLines="50" w:afterLines="50"/>
              <w:jc w:val="center"/>
              <w:rPr>
                <w:rFonts w:hint="eastAsia" w:ascii="宋体" w:hAnsi="宋体" w:eastAsia="宋体" w:cs="宋体"/>
                <w:b/>
                <w:bCs/>
                <w:color w:val="auto"/>
                <w:sz w:val="24"/>
                <w:szCs w:val="24"/>
              </w:rPr>
            </w:pPr>
          </w:p>
        </w:tc>
        <w:tc>
          <w:tcPr>
            <w:tcW w:w="3733" w:type="dxa"/>
            <w:vMerge w:val="continue"/>
            <w:vAlign w:val="center"/>
          </w:tcPr>
          <w:p>
            <w:pPr>
              <w:spacing w:beforeLines="50" w:afterLines="50"/>
              <w:jc w:val="center"/>
              <w:rPr>
                <w:rFonts w:hint="eastAsia" w:ascii="宋体" w:hAnsi="宋体" w:eastAsia="宋体" w:cs="宋体"/>
                <w:b/>
                <w:bCs/>
                <w:color w:val="auto"/>
                <w:sz w:val="24"/>
                <w:szCs w:val="24"/>
              </w:rPr>
            </w:pPr>
          </w:p>
        </w:tc>
        <w:tc>
          <w:tcPr>
            <w:tcW w:w="2533" w:type="dxa"/>
            <w:vMerge w:val="continue"/>
            <w:vAlign w:val="center"/>
          </w:tcPr>
          <w:p>
            <w:pPr>
              <w:spacing w:beforeLines="50" w:afterLines="50"/>
              <w:jc w:val="center"/>
              <w:rPr>
                <w:rFonts w:hint="eastAsia" w:ascii="宋体" w:hAnsi="宋体" w:eastAsia="宋体" w:cs="宋体"/>
                <w:b/>
                <w:bCs/>
                <w:color w:val="auto"/>
                <w:sz w:val="24"/>
                <w:szCs w:val="24"/>
              </w:rPr>
            </w:pPr>
          </w:p>
        </w:tc>
        <w:tc>
          <w:tcPr>
            <w:tcW w:w="2790" w:type="dxa"/>
            <w:vMerge w:val="continue"/>
            <w:vAlign w:val="center"/>
          </w:tcPr>
          <w:p>
            <w:pPr>
              <w:spacing w:beforeLines="50" w:afterLines="50"/>
              <w:jc w:val="center"/>
              <w:rPr>
                <w:rFonts w:hint="eastAsia" w:ascii="宋体" w:hAnsi="宋体" w:eastAsia="宋体" w:cs="宋体"/>
                <w:b/>
                <w:bCs/>
                <w:color w:val="auto"/>
                <w:sz w:val="24"/>
                <w:szCs w:val="24"/>
              </w:rPr>
            </w:pPr>
          </w:p>
        </w:tc>
        <w:tc>
          <w:tcPr>
            <w:tcW w:w="1110" w:type="dxa"/>
            <w:vMerge w:val="continue"/>
            <w:vAlign w:val="center"/>
          </w:tcPr>
          <w:p>
            <w:pPr>
              <w:spacing w:beforeLines="50" w:afterLines="50"/>
              <w:jc w:val="center"/>
              <w:rPr>
                <w:rFonts w:hint="eastAsia" w:ascii="宋体" w:hAnsi="宋体" w:eastAsia="宋体" w:cs="宋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0700-Z-00500-140581</w:t>
            </w: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慈善信托备案</w:t>
            </w: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高平市民政局</w:t>
            </w:r>
          </w:p>
        </w:tc>
        <w:tc>
          <w:tcPr>
            <w:tcW w:w="7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其他行政权力</w:t>
            </w:r>
          </w:p>
        </w:tc>
        <w:tc>
          <w:tcPr>
            <w:tcW w:w="37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《中华人民共和国慈善法》第四十五条设立慈善信托、确定受托人和监察人，应当采取书面形式。受托人应当在慈善信托文件签订之日起七日内，将相关文件向受托人所在地县级以上人民政府民政部门备案。</w:t>
            </w:r>
          </w:p>
        </w:tc>
        <w:tc>
          <w:tcPr>
            <w:tcW w:w="25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1.受理责任：公示应当提交的材料，一次性告知补正材料，依法受理或不予受理（不予受理应当告知理由）。 2.审查责任：对申请人提交的申请材料进行审查核实，组织实地查验。 3.决定责任：做出备案或者不予备案决定，（不予备案的告知理由）。 4.送达责任：准予备案的，信息公开。 5.事后监管责任：建立实施监督检查的运行机制和管理制度，开展定期和不定期检查，依法采取相关处置措施。 6.其他：法律法规规章规定应履行的责任。</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rPr>
            </w:pPr>
            <w:r>
              <w:rPr>
                <w:rFonts w:hint="eastAsia" w:ascii="宋体" w:hAnsi="宋体" w:eastAsia="宋体" w:cs="宋体"/>
                <w:bCs/>
                <w:color w:val="auto"/>
                <w:sz w:val="20"/>
                <w:szCs w:val="20"/>
              </w:rPr>
              <w:t>《中华人民共和国慈善法》第四十五条　设立慈善信托、确定受托人和监察人，应当采取书面形式。受托人应当在慈善信托文件签订之日起七日内，将相关文件向受托人所在地县级以上人民政府民政部门备案。未按照前款规定将相关文件报民政部门备案的，不享受税收优惠。 第四十六条　慈善信托的受托人，可以由委托人确定其信赖的慈善组织或者信托公司担任。 第四十七条　慈善信托的受托人违反信托义务或者难以履行职责的，委托人可以变更受托人。变更后的受托人应当自变更之日起七日内，将变更情况报原备案的民政部门重新备案。 第四十八条　慈善信托的受托人管理和处分信托财产，应当按照信托目的，恪尽职守，履行诚信、谨慎管理的义务。 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 第四十九条　慈善信托的委托人根据需要，可以确定信托监察人。 信托监察人对受托人的行为进行监督，依法维护委托人和受益人的权益。信托监察人发现受托人违反信托义务或者难以履行职责的，应当向委托人报告，并有权以自己的名义向人民法院提起诉讼。 第五十条　慈善信托的设立、信托财产的管理、信托当事人、信托的终止和清算等事项，本章未规定的，适用本法其他有关规定；本法未规定的，适用《中华人民共和国信托法》的有关规定。</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auto"/>
                <w:sz w:val="20"/>
                <w:szCs w:val="20"/>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5215"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04"/>
        <w:gridCol w:w="950"/>
        <w:gridCol w:w="733"/>
        <w:gridCol w:w="3767"/>
        <w:gridCol w:w="2550"/>
        <w:gridCol w:w="2756"/>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117"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73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6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5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75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111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1004"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73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6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5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75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0700-Z-00200-140581</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养老机构备案</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100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733"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其他行政权力</w:t>
            </w:r>
          </w:p>
        </w:tc>
        <w:tc>
          <w:tcPr>
            <w:tcW w:w="3767"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《中华人民共和国老年人权益保障法》第四十三条 设立公益性养老机构，应当依法办理相应的登记。设立经营性养老机构，应当在市场监督管理部门办理登记。养老机构登记备案后即可开展服务活动，并向县级以上人民政府民政部门备案。</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1.受理责任：公示应当提交的材料，一次性告知补正材料，依法受理或不予受理（不予受理应当告知理由）。 2.审查责任：对申请人提交的申请材料进行审查核实，组织实地查验。 3.决定责任：做出备案或者不予备案决定，（不予备案的告知理由）。 4.送达责任：准予备案的向申请人颁发养老机构备案证书，按规定报上级备案，信息公开。 5.事后监管责任：建立实施监督检查的运行机制和管理制度，开展定期和不定期检查，依法采取相关处置措施。 6.其他：法律法规规章规定应履行的责任。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《中华人民共和国老年人权益保障法》第七十四条　不履行保护老年人合法权益职责的部门或者组织，其上级主管部门应当给予批评教育，责令改正。</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国家工作人员违法失职，致使老年人合法权益受到损害的，由其所在单位或者上级机关责令改正，或者依法给予处分；构成犯罪的，依法追究刑事责任。</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rPr>
                <w:rFonts w:hint="eastAsia" w:ascii="宋体" w:hAnsi="宋体" w:eastAsia="宋体" w:cs="宋体"/>
                <w:b/>
                <w:bCs/>
                <w:color w:val="auto"/>
                <w:sz w:val="20"/>
                <w:szCs w:val="20"/>
                <w:highlight w:val="none"/>
              </w:rPr>
            </w:pPr>
          </w:p>
        </w:tc>
      </w:tr>
    </w:tbl>
    <w:p>
      <w:pPr>
        <w:spacing w:beforeLines="50" w:afterLines="50"/>
        <w:jc w:val="both"/>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5215"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04"/>
        <w:gridCol w:w="950"/>
        <w:gridCol w:w="733"/>
        <w:gridCol w:w="3783"/>
        <w:gridCol w:w="2517"/>
        <w:gridCol w:w="2773"/>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117"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73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8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5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77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111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1004"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73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8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5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77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9" w:hRule="atLeast"/>
        </w:trPr>
        <w:tc>
          <w:tcPr>
            <w:tcW w:w="1232"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111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对社会团体违规行为的处罚</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95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73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color w:val="auto"/>
                <w:sz w:val="20"/>
                <w:szCs w:val="20"/>
                <w:highlight w:val="none"/>
              </w:rPr>
              <w:t>行政</w:t>
            </w:r>
            <w:r>
              <w:rPr>
                <w:rFonts w:hint="eastAsia" w:ascii="宋体" w:hAnsi="宋体" w:eastAsia="宋体" w:cs="宋体"/>
                <w:color w:val="auto"/>
                <w:sz w:val="20"/>
                <w:szCs w:val="20"/>
                <w:highlight w:val="none"/>
                <w:lang w:eastAsia="zh-CN"/>
              </w:rPr>
              <w:t>处罚</w:t>
            </w:r>
          </w:p>
        </w:tc>
        <w:tc>
          <w:tcPr>
            <w:tcW w:w="3783"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【行政法规】《社会团体登记管理 条例》（国务院第250号）第三十四 条社会团体的活动违反其他法 律、法规的，由有关国家机关依法 处理；有关国家机关认为应当撤 销登记的，由登记管理机关撤销 登记。</w:t>
            </w:r>
          </w:p>
        </w:tc>
        <w:tc>
          <w:tcPr>
            <w:tcW w:w="251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1.立案责任：检查或者接到举报等，发现社会团体的违法、 违规情形，应及时制止，予以审查，并在 7 日决定是否立案； 2.调查责任：对立案的案件， 指定专人负责，执法人员不得少于两人，与当事人有直接利害关系的应当回避。调查时出示执法证件，允许当事人辩解陈述；行政机关在收集证据时，经行政机关负责人批准， 可以先行登记保存，并应当在 7日内及时作出处理决定。 3.审查责任：调查终结，行政机关负责人应当对调查结果 进行审查，根据不同情况作出 决定。对情节复杂或者重大违法为给予较重的行政处罚， 行政机关的负责人应当集体 讨论决定。 4.告知责任：书面告知当事人违法事实及其享有的陈述、申辩、要求听证等权利；当事人要求听证的，应当依法组织听证。当事人不承担组织听证的费用。 5.决定责任：决定给予社会团体行政处罚的，应当制作行政 处罚决定书。行政处罚决定书要载明违法事实和证据、处罚依据和内容、申请行政复议或提起行政诉讼的途径和期限等内容； 6.送达责任：行政处罚决定书 应当在宣告后当场交付当事人；当事人不在场的，7日内，将行政处罚决定书送达当事人； 7.执行责任：监督检查行政处罚执行情况，对逾期不履行行政处罚决定的采取加处罚款； 需要移送有关机关的按程序移送。 8.其他责任：法律法规规章规定应履行的责任。</w:t>
            </w: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 xml:space="preserve">《行政处罚法》（主席令第63号）第36条：除本法第三十三条规定的可以当场作出的行政处罚外，行政机关发现 公民、法人或者其他组织有依法应当给予行政处罚的行为的，必须全面、客观、公正地调查，收集有关证据；必要时，依照法律、法规的规定，可以进行检查。第37条：行政机关在调查或者进行检查时，执法人员不得少于两人，并应当向当事人或者有关人员出示证件。当事人或者有关人员应当如实回答询问，并协助调查或者检查，不得阻挠。询问或者检查应当制作笔录。第39条行政机关依照本法第三十八条的规定给予行政处罚，应当制作行政处罚决定书。行政处罚决定书必须盖有作出行政处罚决定的行政机关的印章。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sz w:val="20"/>
                <w:szCs w:val="20"/>
                <w:highlight w:val="none"/>
                <w:lang w:val="en-US" w:eastAsia="zh-CN"/>
              </w:rPr>
              <w:t xml:space="preserve">第42条行政机关作出责令停产停业、吊销许可证或者执照、较大数额罚款等行政处罚决定之前，应当告知当事人有要求举行听证的权利；当事人要求听证的，行政机关 应当组织听证。 </w:t>
            </w:r>
          </w:p>
        </w:tc>
        <w:tc>
          <w:tcPr>
            <w:tcW w:w="111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auto"/>
                <w:sz w:val="20"/>
                <w:szCs w:val="20"/>
                <w:highlight w:val="none"/>
              </w:rPr>
            </w:pPr>
          </w:p>
        </w:tc>
      </w:tr>
    </w:tbl>
    <w:p>
      <w:pPr>
        <w:spacing w:beforeLines="50" w:afterLines="50"/>
        <w:rPr>
          <w:rFonts w:ascii="仿宋" w:hAnsi="仿宋" w:eastAsia="仿宋" w:cs="仿宋"/>
          <w:b/>
          <w:bCs/>
          <w:color w:val="auto"/>
          <w:sz w:val="32"/>
          <w:szCs w:val="32"/>
        </w:rPr>
      </w:pPr>
    </w:p>
    <w:p>
      <w:pPr>
        <w:spacing w:beforeLines="50" w:afterLines="50"/>
        <w:rPr>
          <w:rFonts w:ascii="仿宋" w:hAnsi="仿宋" w:eastAsia="仿宋" w:cs="仿宋"/>
          <w:b/>
          <w:bCs/>
          <w:color w:val="auto"/>
          <w:sz w:val="32"/>
          <w:szCs w:val="32"/>
        </w:rPr>
      </w:pPr>
    </w:p>
    <w:p>
      <w:pPr>
        <w:spacing w:beforeLines="50" w:afterLines="50"/>
        <w:rPr>
          <w:rFonts w:ascii="仿宋" w:hAnsi="仿宋" w:eastAsia="仿宋" w:cs="仿宋"/>
          <w:b/>
          <w:bCs/>
          <w:color w:val="auto"/>
          <w:sz w:val="32"/>
          <w:szCs w:val="32"/>
        </w:rPr>
      </w:pPr>
    </w:p>
    <w:p>
      <w:pPr>
        <w:spacing w:beforeLines="50" w:afterLines="50"/>
        <w:rPr>
          <w:rFonts w:ascii="仿宋" w:hAnsi="仿宋" w:eastAsia="仿宋" w:cs="仿宋"/>
          <w:b/>
          <w:bCs/>
          <w:color w:val="auto"/>
          <w:sz w:val="32"/>
          <w:szCs w:val="32"/>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5182"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1004"/>
        <w:gridCol w:w="933"/>
        <w:gridCol w:w="750"/>
        <w:gridCol w:w="3800"/>
        <w:gridCol w:w="2517"/>
        <w:gridCol w:w="2756"/>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117"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3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7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80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5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75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107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1004"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3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7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80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5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75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07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111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对民办非企业单位违规行为的处罚</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93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75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color w:val="auto"/>
                <w:sz w:val="20"/>
                <w:szCs w:val="20"/>
                <w:highlight w:val="none"/>
              </w:rPr>
              <w:t>行政</w:t>
            </w:r>
            <w:r>
              <w:rPr>
                <w:rFonts w:hint="eastAsia" w:ascii="宋体" w:hAnsi="宋体" w:eastAsia="宋体" w:cs="宋体"/>
                <w:color w:val="auto"/>
                <w:sz w:val="20"/>
                <w:szCs w:val="20"/>
                <w:highlight w:val="none"/>
                <w:lang w:eastAsia="zh-CN"/>
              </w:rPr>
              <w:t>处罚</w:t>
            </w:r>
          </w:p>
        </w:tc>
        <w:tc>
          <w:tcPr>
            <w:tcW w:w="380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【行政法规】《民办非企业单位登 记管理暂行条例》（国务院令第 251号）第二十六条民办非企业单 位的活动违反其他法律、法规的， 由有关国家机关依法处理；有关 国家机关认为应当撤销登记的， 由登记管理机关撤销登记。</w:t>
            </w:r>
          </w:p>
        </w:tc>
        <w:tc>
          <w:tcPr>
            <w:tcW w:w="251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1.立案责任：检查或者接到举报等，发现社会团体的违法、 违规情形，应及时制止，予以审查，并在 7 日决定是否立案； 2.调查责任：对立案的案件， 指定专人负责，执法人员不得少于两人，与当事人有直接利害关系的应当回避。调查时出示执法证件，允许当事人辩解陈述；行政机关在收集证据时，经行政机关负责人批准， 可以先行登记保存，并应当在 7日内及时作出处理决定。 3.审查责任：调查终结，行政机关负责人应当对调查结果 进行审查，根据不同情况作出 决定。对情节复杂或者重大违法为给予较重的行政处罚， 行政机关的负责人应当集体 讨论决定。 4.告知责任：书面告知当事人违法事实及其享有的陈述、申辩、要求听证等权利；当事人要求听证的，应当依法组织听证。当事人不承担组织听证的费用。 5.决定责任：决定给予社会团体行政处罚的，应当制作行政 处罚决定书。行政处罚决定书要载明违法事实和证据、处罚依据和内容、申请行政复议或提起行政诉讼的途径和期限等内容； 6.送达责任：行政处罚决定书 应当在宣告后当场交付当事人；当事人不在场的，7日内，将行政处罚决定书送达当事人； 7.执行责任：监督检查行政处罚执行情况，对逾期不履行行政处罚决定的采取加处罚款； 需要移送有关机关的按程序移送。 8.其他责任：法律法规规章规定应履行的责任。</w:t>
            </w: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 xml:space="preserve">《行政处罚法》（主席令第63号）第36条：除本法第三十三条规定的可以当场作出的行政处罚外，行政机关发现 公民、法人或者其他组织有依法应当给予行政处罚的行为的，必须全面、客观、公正地调查，收集有关证据；必要时，依照法律、法规的规定，可以进行检查。第37条：行政机关在调查或者进行检查时，执法人员不得少于两人，并应当向当事人或者有关人员出示证件。当事人或者有关人员应当如实回答询问，并协助调查或者检查，不得阻挠。询问或者检查应当制作笔录。第39条行政机关依照本法第三十八条的规定给予行政处罚，应当制作行政处罚决定书。行政处罚决定书必须盖有作出行政处罚决定的行政机关的印章。 </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sz w:val="20"/>
                <w:szCs w:val="20"/>
                <w:highlight w:val="none"/>
                <w:lang w:val="en-US" w:eastAsia="zh-CN"/>
              </w:rPr>
              <w:t xml:space="preserve">第42条行政机关作出责令停产停业、吊销许可证或者执照、较大数额罚款等行政处罚决定之前，应当告知当事人有要求举行听证的权利；当事人要求听证的，行政机关 应当组织听证。 </w:t>
            </w:r>
          </w:p>
        </w:tc>
        <w:tc>
          <w:tcPr>
            <w:tcW w:w="107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5215"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87"/>
        <w:gridCol w:w="950"/>
        <w:gridCol w:w="783"/>
        <w:gridCol w:w="3784"/>
        <w:gridCol w:w="2466"/>
        <w:gridCol w:w="279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100"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78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84"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46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79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111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87"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78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84"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46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79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111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对擅自移动或故意损毁界桩或行政区域界线标志物行为的处罚</w:t>
            </w:r>
          </w:p>
        </w:tc>
        <w:tc>
          <w:tcPr>
            <w:tcW w:w="98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95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78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color w:val="auto"/>
                <w:sz w:val="20"/>
                <w:szCs w:val="20"/>
                <w:highlight w:val="none"/>
              </w:rPr>
              <w:t>行政</w:t>
            </w:r>
            <w:r>
              <w:rPr>
                <w:rFonts w:hint="eastAsia" w:ascii="宋体" w:hAnsi="宋体" w:eastAsia="宋体" w:cs="宋体"/>
                <w:color w:val="auto"/>
                <w:sz w:val="20"/>
                <w:szCs w:val="20"/>
                <w:highlight w:val="none"/>
                <w:lang w:eastAsia="zh-CN"/>
              </w:rPr>
              <w:t>处罚</w:t>
            </w:r>
          </w:p>
        </w:tc>
        <w:tc>
          <w:tcPr>
            <w:tcW w:w="3784"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区域界线管理条例》（国务院令第353号）第六条 任何组织或者个人不得擅自移动或者损坏界桩。非法移动界桩的，其行为无效。行政区域界线毗邻的各有关人民政府应当按照行政区域界线协议书的规定，对界桩进行分工管理。对损坏的界桩，由分工管理该界桩的一方在毗邻方在场的情况下修复。因建设、开发等原因需要移动或者增设界桩的，行政区域界线毗邻的各有关人民政府应当协商一致，共同测绘，增补档案资料，并报该行政区域界线的批准机关备案。第十七条违反本条例的规定，故意损毁或者擅自移动界桩或者其他行政区域界线标志物的，应当支付修复标志物的费用，并由所在地负责管理该行政区域界线标志的人民政府民政部门处1000元以下的罚款；构成违反治安管理行为的，并依法给予治安管理处罚。</w:t>
            </w:r>
          </w:p>
        </w:tc>
        <w:tc>
          <w:tcPr>
            <w:tcW w:w="2466"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1、立案责任：对发现或举报的故意损坏或擅自移动界桩及其他行政区域界线标志物的违法行为，依法予以立案；2、调查责任：按照《行政区域界线管理条例》规定，遵循客观事实，指定专人，对相关材料进行核实、取证、收集。与当事人有直接利害关系的应当回避，调查时出示执法证件，允许当事人辩解陈述。3、审查责任：市民政局负责人对调查结果进行审查，根据不同情况作出决定。4、告知责任：书面告知当事人作出故意损坏或擅自移动界桩及其他行政区域界线标志物的行政处罚决定的事实、理由及依据，并依法享有的陈述、申辩、听证等权利。5、决定责任：对当事人提出的陈述和申辩意见，应充分听取，并进行复核；对当事人提出的事实、理由或者证据成立的，应当采纳。对当事人要求听证的，应当组织听证。对决 定给予行政处罚的，应当制作行政处罚决定书。行政处罚决定书要载明违法事实和证据、处罚依据和内容、申请行政复议或提起行政诉讼的途径和期限等内容。6、送达责任：行政处罚决定书应当在宣告后当场交付当事人；当事人不在场的，应当在 七日内，依照民事诉讼法的有关规定送达当事人。7、执行责任：严格按照所作出的行政处罚决定予以执行。8、其他责任：法律法规规章规定应履行的责任。</w:t>
            </w:r>
          </w:p>
        </w:tc>
        <w:tc>
          <w:tcPr>
            <w:tcW w:w="279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1、《行政区域界线管理条例》第六条任何组织或者个人不得擅自移动或者损坏界桩。非法移动界桩的，其行为无效。第十七条违反本条例的规定，故意损毁或者擅自移动界桩或者其他行政区域界线标志物的，应当支付修复标志物的费用，并由所在地负责管理该行政区域界线标志的人民政府民政部门处1000元以下的罚款；构成违反治安管理行为的，并依法给予治安管理处罚。</w:t>
            </w:r>
            <w:r>
              <w:rPr>
                <w:rFonts w:hint="eastAsia" w:ascii="宋体" w:hAnsi="宋体" w:eastAsia="宋体" w:cs="宋体"/>
                <w:bCs/>
                <w:color w:val="auto"/>
                <w:sz w:val="20"/>
                <w:szCs w:val="20"/>
                <w:highlight w:val="none"/>
                <w:lang w:val="en-US" w:eastAsia="zh-CN"/>
              </w:rPr>
              <w:t>2.</w:t>
            </w:r>
            <w:r>
              <w:rPr>
                <w:rFonts w:hint="eastAsia" w:ascii="宋体" w:hAnsi="宋体" w:eastAsia="宋体" w:cs="宋体"/>
                <w:sz w:val="20"/>
                <w:szCs w:val="20"/>
                <w:highlight w:val="none"/>
                <w:lang w:val="en-US" w:eastAsia="zh-CN"/>
              </w:rPr>
              <w:t>《行政处罚法》（主席令第63号）第36条：除本法第三十三条规定的可以当场作出的行政处罚外，行政机关发现 公民、法人或者其他组织有依法应当给予行政处罚的行为的，必须全面、客观、公正地调查，收集有关证据；必要时，依照法律、法规的规定，可以进行检查。第37条：行政机关在调查或者进行检查时，执法人员不得少于两人，并应当向当事人或者有关人员出示证件。当事人或者有关人员应当如实回答询问，并协助调查或者检查，不得阻挠。询问或者检查应当制作笔录。第39条行政机关依照本法第三十八条的规定给予行政处罚，应当制作行政处罚决定书。行政处罚决定书必须盖有作出行政处罚决定的行政机关的印章。第42条行政机关作出责令停产停业、吊销许可证或者执照、较大数额罚款等行政处罚决定之前，应当告知当事人有要求举行听证的权利；当事人要求听证的，行政机关 应当组织听证。</w:t>
            </w:r>
          </w:p>
        </w:tc>
        <w:tc>
          <w:tcPr>
            <w:tcW w:w="111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5215"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87"/>
        <w:gridCol w:w="950"/>
        <w:gridCol w:w="783"/>
        <w:gridCol w:w="3784"/>
        <w:gridCol w:w="2450"/>
        <w:gridCol w:w="2806"/>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100"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78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84"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4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80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111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87"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78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84"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4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80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111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对擅自编制行政区域线详图或改变行政区域界线画法行为的处罚</w:t>
            </w:r>
          </w:p>
        </w:tc>
        <w:tc>
          <w:tcPr>
            <w:tcW w:w="98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95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78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color w:val="auto"/>
                <w:sz w:val="20"/>
                <w:szCs w:val="20"/>
                <w:highlight w:val="none"/>
              </w:rPr>
              <w:t>行政</w:t>
            </w:r>
            <w:r>
              <w:rPr>
                <w:rFonts w:hint="eastAsia" w:ascii="宋体" w:hAnsi="宋体" w:eastAsia="宋体" w:cs="宋体"/>
                <w:color w:val="auto"/>
                <w:sz w:val="20"/>
                <w:szCs w:val="20"/>
                <w:highlight w:val="none"/>
                <w:lang w:eastAsia="zh-CN"/>
              </w:rPr>
              <w:t>处罚</w:t>
            </w:r>
          </w:p>
        </w:tc>
        <w:tc>
          <w:tcPr>
            <w:tcW w:w="3784"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【行政法规】《行政区域界线管理条例》（国务院令第353号）第十四条 行政区域界线详图是反映县级以上行政区域界线标准画法的国家专题地图。任何涉及行政区域界线的地图，其行政区域界线画法一律以行政区域界线详图为准绘制。国务院民政部门负责编制省、自 治区、直辖市行政区域界线详图；省、自治区、直辖市人民政府民政 部门负责编制本行政区域内的行政区域界线详图。 第十八条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1万元以下的罚款。</w:t>
            </w:r>
          </w:p>
        </w:tc>
        <w:tc>
          <w:tcPr>
            <w:tcW w:w="245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1、立案责任：对发现或举报的擅自编制行政区域界线详图， 或者绘制的地图的行政区域界线的画法与行政区域界线详图的画法不一致的违法行为，依法予以立案；2、调查责任：按照《行政区域界线管理条例》规定，遵循客观事实，指定专人，对相关材料进行核实、取证、收集。与当事人有直接利害关系的应当回避，调查时出示执法证件，允许当事人辩解陈述。 3、审查责任：市民政局负责人对调查结果进行审查，根据不同情况作出决定。 4、告知责任：书面告知当事人作出擅自编制行政区域界线详图，或者绘制的地图的行政区域界线的画法与行政区域界线详图的画法不一致的行政处罚决定的事实、理由及依据，并依法享有的陈述、申辩、听证等权利。5、决定责任：对当事人提出的陈述和申辩意见，应充分听取，并进行复核；对当事人提出的事实、理由或者证据成立的，应当采纳。对当事人要求听证的，应当组织听证。对决定给予行政处罚的，应当制作行政处罚决定书。行政处罚决定书要载明违法事实和证据、处罚依据和内容、申请行政复议或提起行政诉讼的途径和期限等内容。6、送达责任：行政处罚决定书应当在宣告后当场交付当事人；当事人不在场的，应当在七日内，依照民事诉讼法的有关规定送达当事人。7、执行责任：严格按照行政处罚决定予以执行。8、其他责任：法律法规规章规定应履行的责任。</w:t>
            </w:r>
          </w:p>
        </w:tc>
        <w:tc>
          <w:tcPr>
            <w:tcW w:w="28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20"/>
                <w:szCs w:val="20"/>
                <w:highlight w:val="none"/>
                <w:lang w:val="en-US" w:eastAsia="zh-CN"/>
              </w:rPr>
            </w:pPr>
            <w:r>
              <w:rPr>
                <w:rFonts w:hint="eastAsia" w:ascii="宋体" w:hAnsi="宋体" w:eastAsia="宋体" w:cs="宋体"/>
                <w:bCs/>
                <w:color w:val="auto"/>
                <w:sz w:val="20"/>
                <w:szCs w:val="20"/>
                <w:highlight w:val="none"/>
              </w:rPr>
              <w:t>1、《行政区域界线管理条例》第十八条违反本条例的规定，擅自编制行政区域界线详图，或者绘制的地图的行政区域界线的画法与行政区域界线详图的画法不一致的，由有关人民政府民政部门责令停止违法行为，没收违法编制的行政区域界线详 图和违法</w:t>
            </w:r>
            <w:r>
              <w:rPr>
                <w:rFonts w:hint="eastAsia" w:ascii="宋体" w:hAnsi="宋体" w:eastAsia="宋体" w:cs="宋体"/>
                <w:bCs/>
                <w:color w:val="auto"/>
                <w:sz w:val="20"/>
                <w:szCs w:val="20"/>
                <w:highlight w:val="none"/>
                <w:lang w:val="en-US" w:eastAsia="zh-CN"/>
              </w:rPr>
              <w:t>2.</w:t>
            </w:r>
            <w:r>
              <w:rPr>
                <w:rFonts w:hint="eastAsia" w:ascii="宋体" w:hAnsi="宋体" w:eastAsia="宋体" w:cs="宋体"/>
                <w:sz w:val="20"/>
                <w:szCs w:val="20"/>
                <w:highlight w:val="none"/>
                <w:lang w:val="en-US" w:eastAsia="zh-CN"/>
              </w:rPr>
              <w:t xml:space="preserve">《行政处罚法》（主席令第63号）第36条：除本法第三十三条规定的可以当场作出的行政处罚外，行政机关发现 公民、法人或者其他组织有依法应当给予行政处罚的行为的，必须全面、客观、公正地调查，收集有关证据；必要时，依照法律、法规的规定，可以进行检查。第37条：行政机关在调查或者进行检查时，执法人员不得少于两人，并应当向当事人或者有关人员出示证件。当事人或者有关人员应当如实回答询问，并协助调查或者检查，不得阻挠。询问或者检查应当制作笔录。第39条行政机关依照本法第三十八条的规定给予行政处罚，应当制作行政处罚决定书。行政处罚决定书必须盖有作出行政处罚决定的行政机关的印章。 </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sz w:val="20"/>
                <w:szCs w:val="20"/>
                <w:highlight w:val="none"/>
                <w:lang w:val="en-US" w:eastAsia="zh-CN"/>
              </w:rPr>
              <w:t>第42条行政机关作出责令停产停业、吊销许可证或者执照、较大数额罚款等行政处罚决定之前，应当告知当事人有要求举行听证的权利；当事人要求听证的，行政机关 应当组织听证。</w:t>
            </w:r>
            <w:r>
              <w:rPr>
                <w:rFonts w:hint="eastAsia" w:ascii="宋体" w:hAnsi="宋体" w:eastAsia="宋体" w:cs="宋体"/>
                <w:bCs/>
                <w:color w:val="auto"/>
                <w:sz w:val="20"/>
                <w:szCs w:val="20"/>
                <w:highlight w:val="none"/>
              </w:rPr>
              <w:t>所得，并处１万元以下的罚款。</w:t>
            </w:r>
          </w:p>
        </w:tc>
        <w:tc>
          <w:tcPr>
            <w:tcW w:w="111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5182"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87"/>
        <w:gridCol w:w="917"/>
        <w:gridCol w:w="833"/>
        <w:gridCol w:w="3767"/>
        <w:gridCol w:w="2450"/>
        <w:gridCol w:w="2806"/>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100"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33"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6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4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80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107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87"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33"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6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4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80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07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111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bCs/>
                <w:color w:val="auto"/>
                <w:sz w:val="20"/>
                <w:szCs w:val="20"/>
                <w:highlight w:val="none"/>
                <w:lang w:eastAsia="zh-CN"/>
              </w:rPr>
              <w:t>封存被限期停止活动民办非企业单位的登记证书、印章和财务凭证或收缴被撤销登记民办非企业单位的登记证书和印章</w:t>
            </w:r>
          </w:p>
        </w:tc>
        <w:tc>
          <w:tcPr>
            <w:tcW w:w="98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91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3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color w:val="auto"/>
                <w:sz w:val="20"/>
                <w:szCs w:val="20"/>
                <w:highlight w:val="none"/>
              </w:rPr>
              <w:t>行政</w:t>
            </w:r>
            <w:r>
              <w:rPr>
                <w:rFonts w:hint="eastAsia" w:ascii="宋体" w:hAnsi="宋体" w:eastAsia="宋体" w:cs="宋体"/>
                <w:color w:val="auto"/>
                <w:sz w:val="20"/>
                <w:szCs w:val="20"/>
                <w:highlight w:val="none"/>
                <w:lang w:eastAsia="zh-CN"/>
              </w:rPr>
              <w:t>强制</w:t>
            </w:r>
          </w:p>
        </w:tc>
        <w:tc>
          <w:tcPr>
            <w:tcW w:w="3767"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【行政法规】《社会团体登记管理条例》（国务院250号）第三十六条社会团体被责令限期停止活动的，由登记管理机关封存《社会团体法人登记证书》、印章和财务凭证。</w:t>
            </w:r>
          </w:p>
        </w:tc>
        <w:tc>
          <w:tcPr>
            <w:tcW w:w="245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催告责任:对当事人下达催告通知书，催告履行义务以及履行义 务的期限、方式和当事人依法享有的陈述权 和申辩权； 2、决定责任:充分听取当事人的意见，对当事人提出的事实、理由和证据，进行记录、复核， 无正当理由的，向厅机关负责人报告并经批准作出强制执行决定， 送达行政强制执行决 定书； 3、执行责任:由 2 名以上行政执法人员收缴或封存有关物品；填写收缴（封存）物品清单一式三份，并由当事人和行政执法人员签名或者盖章； 4、事后监管责任：行政 强制期限结束后归还 封存物品并由当事人 签收；备案，日常检查。 5、其他责任：法律法规 规章规定应履行的责 任。</w:t>
            </w:r>
          </w:p>
        </w:tc>
        <w:tc>
          <w:tcPr>
            <w:tcW w:w="2806"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1-1、《社会团体登记管理条例》（国务院令250号）第三十六条社会团体被责令限期停止活动的，由登记管理机关封存《社会团体法人登记证书》、印章和财务凭证。1-2、《行政强制法》（主席令第49号）第三十五条 行政机关作出强制执行决定前，应当事先催告当事人履行义务。</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2、《行政强制法》（主席令第49号）第三十七条经催告，当事人逾期仍不履行行政决定，且无正当理由的，行政机关可以作出强制执行决定。在催告期间，对有证据证明有转移或者隐匿财物迹象的，行政机关可以作出立即强制执行决定。</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3、《行政强制法》（主席令第49号）第二十四条 行政机关决定实施查封、扣押的，应当履行本法第十八条规定的程序，制作并当场交付查封、扣押决定书和清单。查封、扣押清单一式二份，由当事人和行政机关分别保存。</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4、《行政强制法》（主席令第49号）第二十六条 对查封、扣押的场所、设施或者财物，行政机关应当妥善保管，不得使用或者损毁；造成损失的，应当承担赔偿责任。</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第二十八条 有下列情形之一的，行政机关应当及时作出解除查封、扣押决定：（一）当事人没有违法行为；（二）查封、扣押的场所、设施或者财物与违法行为无关；（三）行政机关对违法行为已经作出处理决定，不再需要查封、扣押；（四）查封、扣押期限已经届满；（五）其他不再需要采取查封、扣押措施的情形。</w:t>
            </w:r>
          </w:p>
        </w:tc>
        <w:tc>
          <w:tcPr>
            <w:tcW w:w="107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auto"/>
                <w:sz w:val="20"/>
                <w:szCs w:val="20"/>
                <w:highlight w:val="none"/>
              </w:rPr>
            </w:pPr>
          </w:p>
        </w:tc>
      </w:tr>
    </w:tbl>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hint="eastAsia" w:ascii="黑体" w:hAnsi="黑体" w:eastAsia="黑体" w:cs="黑体"/>
          <w:b/>
          <w:bCs/>
          <w:color w:val="auto"/>
          <w:sz w:val="44"/>
          <w:szCs w:val="44"/>
        </w:rPr>
      </w:pPr>
    </w:p>
    <w:p>
      <w:pPr>
        <w:spacing w:beforeLines="50" w:afterLines="50"/>
        <w:jc w:val="center"/>
        <w:rPr>
          <w:rFonts w:ascii="黑体" w:hAnsi="黑体" w:eastAsia="黑体" w:cs="黑体"/>
          <w:b/>
          <w:bCs/>
          <w:color w:val="auto"/>
          <w:sz w:val="44"/>
          <w:szCs w:val="44"/>
        </w:rPr>
      </w:pPr>
      <w:r>
        <w:rPr>
          <w:rFonts w:hint="eastAsia" w:ascii="黑体" w:hAnsi="黑体" w:eastAsia="黑体" w:cs="黑体"/>
          <w:b/>
          <w:bCs/>
          <w:color w:val="auto"/>
          <w:sz w:val="44"/>
          <w:szCs w:val="44"/>
        </w:rPr>
        <w:t>高平市民政局权责清单</w:t>
      </w:r>
    </w:p>
    <w:tbl>
      <w:tblPr>
        <w:tblStyle w:val="5"/>
        <w:tblW w:w="15182"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13"/>
        <w:gridCol w:w="987"/>
        <w:gridCol w:w="917"/>
        <w:gridCol w:w="850"/>
        <w:gridCol w:w="3750"/>
        <w:gridCol w:w="2450"/>
        <w:gridCol w:w="2806"/>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32"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事项编码</w:t>
            </w:r>
          </w:p>
        </w:tc>
        <w:tc>
          <w:tcPr>
            <w:tcW w:w="2100" w:type="dxa"/>
            <w:gridSpan w:val="2"/>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事项名称</w:t>
            </w:r>
          </w:p>
        </w:tc>
        <w:tc>
          <w:tcPr>
            <w:tcW w:w="91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实施主体</w:t>
            </w:r>
          </w:p>
        </w:tc>
        <w:tc>
          <w:tcPr>
            <w:tcW w:w="8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事项类别</w:t>
            </w:r>
          </w:p>
        </w:tc>
        <w:tc>
          <w:tcPr>
            <w:tcW w:w="37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事项依据</w:t>
            </w:r>
          </w:p>
        </w:tc>
        <w:tc>
          <w:tcPr>
            <w:tcW w:w="2450"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w:t>
            </w:r>
          </w:p>
        </w:tc>
        <w:tc>
          <w:tcPr>
            <w:tcW w:w="2806"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责任事项依据</w:t>
            </w:r>
          </w:p>
        </w:tc>
        <w:tc>
          <w:tcPr>
            <w:tcW w:w="1077" w:type="dxa"/>
            <w:vMerge w:val="restart"/>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113"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大项</w:t>
            </w:r>
          </w:p>
        </w:tc>
        <w:tc>
          <w:tcPr>
            <w:tcW w:w="987" w:type="dxa"/>
            <w:vAlign w:val="center"/>
          </w:tcPr>
          <w:p>
            <w:pPr>
              <w:spacing w:beforeLines="50" w:afterLines="5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子项</w:t>
            </w:r>
          </w:p>
        </w:tc>
        <w:tc>
          <w:tcPr>
            <w:tcW w:w="91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8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37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450"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2806"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c>
          <w:tcPr>
            <w:tcW w:w="1077" w:type="dxa"/>
            <w:vMerge w:val="continue"/>
            <w:vAlign w:val="center"/>
          </w:tcPr>
          <w:p>
            <w:pPr>
              <w:spacing w:beforeLines="50" w:afterLines="50"/>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trPr>
        <w:tc>
          <w:tcPr>
            <w:tcW w:w="1232"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1113"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eastAsia="zh-CN"/>
              </w:rPr>
              <w:t>封存被限期停止活动社会团体的登记证书、印章和财务凭证或收缴被撤销登记社会团体的登记证书和印章</w:t>
            </w:r>
          </w:p>
        </w:tc>
        <w:tc>
          <w:tcPr>
            <w:tcW w:w="98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p>
        </w:tc>
        <w:tc>
          <w:tcPr>
            <w:tcW w:w="91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高平市民政局</w:t>
            </w:r>
          </w:p>
        </w:tc>
        <w:tc>
          <w:tcPr>
            <w:tcW w:w="85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lang w:eastAsia="zh-CN"/>
              </w:rPr>
            </w:pPr>
            <w:r>
              <w:rPr>
                <w:rFonts w:hint="eastAsia" w:ascii="宋体" w:hAnsi="宋体" w:eastAsia="宋体" w:cs="宋体"/>
                <w:color w:val="auto"/>
                <w:sz w:val="20"/>
                <w:szCs w:val="20"/>
                <w:highlight w:val="none"/>
              </w:rPr>
              <w:t>行政</w:t>
            </w:r>
            <w:r>
              <w:rPr>
                <w:rFonts w:hint="eastAsia" w:ascii="宋体" w:hAnsi="宋体" w:eastAsia="宋体" w:cs="宋体"/>
                <w:color w:val="auto"/>
                <w:sz w:val="20"/>
                <w:szCs w:val="20"/>
                <w:highlight w:val="none"/>
                <w:lang w:eastAsia="zh-CN"/>
              </w:rPr>
              <w:t>强制</w:t>
            </w:r>
          </w:p>
        </w:tc>
        <w:tc>
          <w:tcPr>
            <w:tcW w:w="3750"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ind w:left="0" w:leftChars="0" w:firstLine="0" w:firstLineChars="0"/>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行政法规】《民办非企业单位登记管理暂行条例》（国务院令251号）第二十八条民办非企业单位被限期停止活动的，由登记管理机关封存其登记证书、印章和财务凭证。民办非企业单位被撤销登记的，由登记管理机关收缴登记证书和印章。</w:t>
            </w:r>
          </w:p>
        </w:tc>
        <w:tc>
          <w:tcPr>
            <w:tcW w:w="2450"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1.催告责任:对当事人下达催告通知书，催告履行义务以及履行义务的期限、方式和当事人依法享有的陈述权和申辩权；</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2.决定责任:充分听取当事人的意见，对当事人提出的事实、理由和证据，进行记录、复核，无正当理由的，向厅机关负责人报告并经批准作出强制执行决定，送达行政强制执行决定书；</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3.执行责任:由2名以上行政执法人员收缴或封存有关物品；填写收缴（封存）物品清单一式三份，并由当事人和行政执法人员签名或者盖章；</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4.事后监管责任：行政强制期限结束后归还封存物品并由当事人签收；备案，日常检查。</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5.其他责任：法律法规规章规定应履行的责任</w:t>
            </w:r>
          </w:p>
        </w:tc>
        <w:tc>
          <w:tcPr>
            <w:tcW w:w="2806"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rPr>
              <w:t>1</w:t>
            </w:r>
            <w:r>
              <w:rPr>
                <w:rFonts w:hint="eastAsia" w:ascii="宋体" w:hAnsi="宋体" w:eastAsia="宋体" w:cs="宋体"/>
                <w:bCs/>
                <w:color w:val="auto"/>
                <w:sz w:val="20"/>
                <w:szCs w:val="20"/>
                <w:highlight w:val="none"/>
                <w:lang w:val="en-US" w:eastAsia="zh-CN"/>
              </w:rPr>
              <w:t>.</w:t>
            </w:r>
            <w:r>
              <w:rPr>
                <w:rFonts w:hint="eastAsia" w:ascii="宋体" w:hAnsi="宋体" w:eastAsia="宋体" w:cs="宋体"/>
                <w:bCs/>
                <w:color w:val="auto"/>
                <w:sz w:val="20"/>
                <w:szCs w:val="20"/>
                <w:highlight w:val="none"/>
              </w:rPr>
              <w:t xml:space="preserve">《民办非企业单位登记管理暂行条例》（国务院令 251号） 第二十八条民办非企业单位被限期停止活动的，由登记 管理机关封存其登记证书、印章和财务凭证。 民办非企业单位被撤销登记的，由登记管理机关收缴登 记证书和印章。 </w:t>
            </w:r>
            <w:r>
              <w:rPr>
                <w:rFonts w:hint="eastAsia" w:ascii="宋体" w:hAnsi="宋体" w:eastAsia="宋体" w:cs="宋体"/>
                <w:bCs/>
                <w:color w:val="auto"/>
                <w:sz w:val="20"/>
                <w:szCs w:val="20"/>
                <w:highlight w:val="none"/>
                <w:lang w:val="en-US" w:eastAsia="zh-CN"/>
              </w:rPr>
              <w:t>2.</w:t>
            </w:r>
            <w:r>
              <w:rPr>
                <w:rFonts w:hint="eastAsia" w:ascii="宋体" w:hAnsi="宋体" w:eastAsia="宋体" w:cs="宋体"/>
                <w:bCs/>
                <w:color w:val="auto"/>
                <w:sz w:val="20"/>
                <w:szCs w:val="20"/>
                <w:highlight w:val="none"/>
              </w:rPr>
              <w:t>《行政强制法》(主席令第49号)第三十五条 行政机 关作出强制执行决定前，应当事先催告当事人履行义务。</w:t>
            </w:r>
          </w:p>
          <w:p>
            <w:pPr>
              <w:keepNext w:val="0"/>
              <w:keepLines w:val="0"/>
              <w:pageBreakBefore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3.</w:t>
            </w:r>
            <w:r>
              <w:rPr>
                <w:rFonts w:hint="eastAsia" w:ascii="宋体" w:hAnsi="宋体" w:eastAsia="宋体" w:cs="宋体"/>
                <w:bCs/>
                <w:color w:val="auto"/>
                <w:sz w:val="20"/>
                <w:szCs w:val="20"/>
                <w:highlight w:val="none"/>
              </w:rPr>
              <w:t xml:space="preserve">《行政强制法》（主席令第49号）第三十七条 经催告，当事人逾期仍不履行行政决定，且无正当理由的，行政机 关可以作出强制执行决定。 </w:t>
            </w:r>
          </w:p>
          <w:p>
            <w:pPr>
              <w:keepNext w:val="0"/>
              <w:keepLines w:val="0"/>
              <w:pageBreakBefore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4.</w:t>
            </w:r>
            <w:r>
              <w:rPr>
                <w:rFonts w:hint="eastAsia" w:ascii="宋体" w:hAnsi="宋体" w:eastAsia="宋体" w:cs="宋体"/>
                <w:bCs/>
                <w:color w:val="auto"/>
                <w:sz w:val="20"/>
                <w:szCs w:val="20"/>
                <w:highlight w:val="none"/>
              </w:rPr>
              <w:t>《行政强制法》(主席令第49号)第二十四条 行政机关 决定实施查封、扣押的，应当履行本法第十八条规定的 程序，制作并当场交付查封、扣押决定书和清单。</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Cs/>
                <w:color w:val="auto"/>
                <w:sz w:val="20"/>
                <w:szCs w:val="20"/>
                <w:highlight w:val="none"/>
              </w:rPr>
            </w:pPr>
            <w:r>
              <w:rPr>
                <w:rFonts w:hint="eastAsia" w:ascii="宋体" w:hAnsi="宋体" w:eastAsia="宋体" w:cs="宋体"/>
                <w:bCs/>
                <w:color w:val="auto"/>
                <w:sz w:val="20"/>
                <w:szCs w:val="20"/>
                <w:highlight w:val="none"/>
                <w:lang w:val="en-US" w:eastAsia="zh-CN"/>
              </w:rPr>
              <w:t>5.</w:t>
            </w:r>
            <w:r>
              <w:rPr>
                <w:rFonts w:hint="eastAsia" w:ascii="宋体" w:hAnsi="宋体" w:eastAsia="宋体" w:cs="宋体"/>
                <w:bCs/>
                <w:color w:val="auto"/>
                <w:sz w:val="20"/>
                <w:szCs w:val="20"/>
                <w:highlight w:val="none"/>
              </w:rPr>
              <w:t>《行政强制法》（主席令第49号）第二十六条 对查封、扣押的场所、设施或者财物，行政机关应当妥善保管，不得使用或者损毁；造成损失的，应当承担赔偿责任。第二十八条 有下列情形之一的，行政机关应当及时作出解除查封、扣押决定：（一）当事人没有违法行为；（二）查封、扣押的场所、设施或者财物与违法行为无关；（三）行政机关对违法行为已经作出处理决定，不再需要查封、扣押；（四）查封、扣押期限已经届满；（五）其他不再需要采取查封、扣押措施的情形。</w:t>
            </w:r>
          </w:p>
        </w:tc>
        <w:tc>
          <w:tcPr>
            <w:tcW w:w="1077"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bCs/>
                <w:color w:val="auto"/>
                <w:sz w:val="20"/>
                <w:szCs w:val="20"/>
                <w:highlight w:val="none"/>
              </w:rPr>
            </w:pPr>
          </w:p>
        </w:tc>
      </w:tr>
    </w:tbl>
    <w:p>
      <w:pPr>
        <w:spacing w:beforeLines="50" w:afterLines="50"/>
        <w:rPr>
          <w:rFonts w:ascii="仿宋" w:hAnsi="仿宋" w:eastAsia="仿宋" w:cs="仿宋"/>
          <w:b/>
          <w:bCs/>
          <w:color w:val="auto"/>
          <w:sz w:val="32"/>
          <w:szCs w:val="32"/>
        </w:rPr>
      </w:pPr>
    </w:p>
    <w:p>
      <w:pPr>
        <w:tabs>
          <w:tab w:val="left" w:pos="5188"/>
        </w:tabs>
        <w:spacing w:beforeLines="50" w:afterLines="5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ab/>
      </w:r>
    </w:p>
    <w:p>
      <w:pPr>
        <w:spacing w:beforeLines="50" w:afterLines="50"/>
        <w:rPr>
          <w:rFonts w:ascii="仿宋" w:hAnsi="仿宋" w:eastAsia="仿宋" w:cs="仿宋"/>
          <w:b/>
          <w:bCs/>
          <w:color w:val="auto"/>
          <w:sz w:val="32"/>
          <w:szCs w:val="32"/>
        </w:rPr>
      </w:pPr>
    </w:p>
    <w:p>
      <w:pPr>
        <w:spacing w:beforeLines="50" w:afterLines="50"/>
        <w:rPr>
          <w:rFonts w:ascii="仿宋" w:hAnsi="仿宋" w:eastAsia="仿宋" w:cs="仿宋"/>
          <w:b/>
          <w:bCs/>
          <w:color w:val="auto"/>
          <w:sz w:val="32"/>
          <w:szCs w:val="32"/>
        </w:rPr>
      </w:pPr>
    </w:p>
    <w:sectPr>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AB034"/>
    <w:multiLevelType w:val="singleLevel"/>
    <w:tmpl w:val="964AB034"/>
    <w:lvl w:ilvl="0" w:tentative="0">
      <w:start w:val="1"/>
      <w:numFmt w:val="decimal"/>
      <w:suff w:val="nothing"/>
      <w:lvlText w:val="%1、"/>
      <w:lvlJc w:val="left"/>
    </w:lvl>
  </w:abstractNum>
  <w:abstractNum w:abstractNumId="1">
    <w:nsid w:val="BCCD0A04"/>
    <w:multiLevelType w:val="singleLevel"/>
    <w:tmpl w:val="BCCD0A04"/>
    <w:lvl w:ilvl="0" w:tentative="0">
      <w:start w:val="1"/>
      <w:numFmt w:val="decimal"/>
      <w:lvlText w:val="%1."/>
      <w:lvlJc w:val="left"/>
      <w:pPr>
        <w:tabs>
          <w:tab w:val="left" w:pos="312"/>
        </w:tabs>
        <w:ind w:left="90" w:leftChars="0" w:firstLine="0" w:firstLineChars="0"/>
      </w:pPr>
    </w:lvl>
  </w:abstractNum>
  <w:abstractNum w:abstractNumId="2">
    <w:nsid w:val="C9FDB6B8"/>
    <w:multiLevelType w:val="singleLevel"/>
    <w:tmpl w:val="C9FDB6B8"/>
    <w:lvl w:ilvl="0" w:tentative="0">
      <w:start w:val="3"/>
      <w:numFmt w:val="decimal"/>
      <w:lvlText w:val="%1."/>
      <w:lvlJc w:val="left"/>
      <w:pPr>
        <w:tabs>
          <w:tab w:val="left" w:pos="312"/>
        </w:tabs>
      </w:pPr>
    </w:lvl>
  </w:abstractNum>
  <w:abstractNum w:abstractNumId="3">
    <w:nsid w:val="D3CB5AEB"/>
    <w:multiLevelType w:val="singleLevel"/>
    <w:tmpl w:val="D3CB5AEB"/>
    <w:lvl w:ilvl="0" w:tentative="0">
      <w:start w:val="1"/>
      <w:numFmt w:val="decimal"/>
      <w:lvlText w:val="%1."/>
      <w:lvlJc w:val="left"/>
      <w:pPr>
        <w:tabs>
          <w:tab w:val="left" w:pos="312"/>
        </w:tabs>
      </w:pPr>
    </w:lvl>
  </w:abstractNum>
  <w:abstractNum w:abstractNumId="4">
    <w:nsid w:val="11379360"/>
    <w:multiLevelType w:val="singleLevel"/>
    <w:tmpl w:val="11379360"/>
    <w:lvl w:ilvl="0" w:tentative="0">
      <w:start w:val="1"/>
      <w:numFmt w:val="decimal"/>
      <w:lvlText w:val="%1."/>
      <w:lvlJc w:val="left"/>
      <w:pPr>
        <w:tabs>
          <w:tab w:val="left" w:pos="312"/>
        </w:tabs>
      </w:pPr>
    </w:lvl>
  </w:abstractNum>
  <w:abstractNum w:abstractNumId="5">
    <w:nsid w:val="261B6D14"/>
    <w:multiLevelType w:val="singleLevel"/>
    <w:tmpl w:val="261B6D14"/>
    <w:lvl w:ilvl="0" w:tentative="0">
      <w:start w:val="1"/>
      <w:numFmt w:val="decimal"/>
      <w:lvlText w:val="%1."/>
      <w:lvlJc w:val="left"/>
      <w:pPr>
        <w:tabs>
          <w:tab w:val="left" w:pos="312"/>
        </w:tabs>
      </w:pPr>
    </w:lvl>
  </w:abstractNum>
  <w:abstractNum w:abstractNumId="6">
    <w:nsid w:val="557F22C7"/>
    <w:multiLevelType w:val="singleLevel"/>
    <w:tmpl w:val="557F22C7"/>
    <w:lvl w:ilvl="0" w:tentative="0">
      <w:start w:val="1"/>
      <w:numFmt w:val="decimal"/>
      <w:lvlText w:val="%1."/>
      <w:lvlJc w:val="left"/>
      <w:pPr>
        <w:tabs>
          <w:tab w:val="left" w:pos="312"/>
        </w:tabs>
        <w:ind w:left="90" w:leftChars="0" w:firstLine="0" w:firstLineChars="0"/>
      </w:pPr>
    </w:lvl>
  </w:abstractNum>
  <w:abstractNum w:abstractNumId="7">
    <w:nsid w:val="75A35DCC"/>
    <w:multiLevelType w:val="singleLevel"/>
    <w:tmpl w:val="75A35DCC"/>
    <w:lvl w:ilvl="0" w:tentative="0">
      <w:start w:val="1"/>
      <w:numFmt w:val="decimal"/>
      <w:lvlText w:val="%1."/>
      <w:lvlJc w:val="left"/>
      <w:pPr>
        <w:tabs>
          <w:tab w:val="left" w:pos="312"/>
        </w:tabs>
      </w:pPr>
    </w:lvl>
  </w:abstractNum>
  <w:abstractNum w:abstractNumId="8">
    <w:nsid w:val="7C5520A6"/>
    <w:multiLevelType w:val="singleLevel"/>
    <w:tmpl w:val="7C5520A6"/>
    <w:lvl w:ilvl="0" w:tentative="0">
      <w:start w:val="1"/>
      <w:numFmt w:val="decimal"/>
      <w:lvlText w:val="%1."/>
      <w:lvlJc w:val="left"/>
      <w:pPr>
        <w:tabs>
          <w:tab w:val="left" w:pos="312"/>
        </w:tabs>
      </w:pPr>
    </w:lvl>
  </w:abstractNum>
  <w:num w:numId="1">
    <w:abstractNumId w:val="4"/>
  </w:num>
  <w:num w:numId="2">
    <w:abstractNumId w:val="2"/>
  </w:num>
  <w:num w:numId="3">
    <w:abstractNumId w:val="8"/>
  </w:num>
  <w:num w:numId="4">
    <w:abstractNumId w:val="3"/>
  </w:num>
  <w:num w:numId="5">
    <w:abstractNumId w:val="1"/>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F030A"/>
    <w:rsid w:val="0009518F"/>
    <w:rsid w:val="00341548"/>
    <w:rsid w:val="003B208A"/>
    <w:rsid w:val="0043536E"/>
    <w:rsid w:val="005C4B15"/>
    <w:rsid w:val="00763DFB"/>
    <w:rsid w:val="007C1F35"/>
    <w:rsid w:val="008307DD"/>
    <w:rsid w:val="00911BB4"/>
    <w:rsid w:val="00B16435"/>
    <w:rsid w:val="00C0021C"/>
    <w:rsid w:val="00EA0F8B"/>
    <w:rsid w:val="011331EF"/>
    <w:rsid w:val="017B070F"/>
    <w:rsid w:val="04F15542"/>
    <w:rsid w:val="053F5545"/>
    <w:rsid w:val="05FC4DAD"/>
    <w:rsid w:val="060267E3"/>
    <w:rsid w:val="0A25382C"/>
    <w:rsid w:val="0AF12CCB"/>
    <w:rsid w:val="0D7526FE"/>
    <w:rsid w:val="0F354259"/>
    <w:rsid w:val="0FE11289"/>
    <w:rsid w:val="125A0D38"/>
    <w:rsid w:val="14EE1CD0"/>
    <w:rsid w:val="15637616"/>
    <w:rsid w:val="16D14236"/>
    <w:rsid w:val="18DF4DD1"/>
    <w:rsid w:val="19246D3D"/>
    <w:rsid w:val="1AC0659E"/>
    <w:rsid w:val="1E646248"/>
    <w:rsid w:val="1EDB5060"/>
    <w:rsid w:val="24124AAD"/>
    <w:rsid w:val="24820A56"/>
    <w:rsid w:val="262F31A9"/>
    <w:rsid w:val="277827D2"/>
    <w:rsid w:val="2784739F"/>
    <w:rsid w:val="27D809F1"/>
    <w:rsid w:val="28EE35B9"/>
    <w:rsid w:val="298919D7"/>
    <w:rsid w:val="29A869F9"/>
    <w:rsid w:val="2D790785"/>
    <w:rsid w:val="2E963C68"/>
    <w:rsid w:val="2F00054F"/>
    <w:rsid w:val="2F5B757D"/>
    <w:rsid w:val="31F64F09"/>
    <w:rsid w:val="32C71D0B"/>
    <w:rsid w:val="33B4359C"/>
    <w:rsid w:val="392836BF"/>
    <w:rsid w:val="3AB024AC"/>
    <w:rsid w:val="3B4F5577"/>
    <w:rsid w:val="3BA47A59"/>
    <w:rsid w:val="3BE977ED"/>
    <w:rsid w:val="3BF44EDA"/>
    <w:rsid w:val="3D2A22F1"/>
    <w:rsid w:val="3D2B7039"/>
    <w:rsid w:val="3FAC6407"/>
    <w:rsid w:val="41D15FFF"/>
    <w:rsid w:val="42115ADE"/>
    <w:rsid w:val="45397423"/>
    <w:rsid w:val="461F2071"/>
    <w:rsid w:val="469E4BF6"/>
    <w:rsid w:val="492B41D9"/>
    <w:rsid w:val="49A32D02"/>
    <w:rsid w:val="4E3C7DCF"/>
    <w:rsid w:val="4EC04A76"/>
    <w:rsid w:val="54AF04DE"/>
    <w:rsid w:val="55990667"/>
    <w:rsid w:val="55B55987"/>
    <w:rsid w:val="55E37B04"/>
    <w:rsid w:val="58AB7B4A"/>
    <w:rsid w:val="5B6A7E8A"/>
    <w:rsid w:val="5E7F030A"/>
    <w:rsid w:val="5EC66006"/>
    <w:rsid w:val="6024449D"/>
    <w:rsid w:val="61077D6B"/>
    <w:rsid w:val="62ED212D"/>
    <w:rsid w:val="676B33FB"/>
    <w:rsid w:val="6AA443AA"/>
    <w:rsid w:val="6B327BC8"/>
    <w:rsid w:val="6CD952A2"/>
    <w:rsid w:val="6DA04FEA"/>
    <w:rsid w:val="6E824D44"/>
    <w:rsid w:val="6FAA74AF"/>
    <w:rsid w:val="713977DC"/>
    <w:rsid w:val="72F6655D"/>
    <w:rsid w:val="756B3EA6"/>
    <w:rsid w:val="76643521"/>
    <w:rsid w:val="79B01653"/>
    <w:rsid w:val="7D5F6AAB"/>
    <w:rsid w:val="7E770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643</Words>
  <Characters>3671</Characters>
  <Lines>30</Lines>
  <Paragraphs>8</Paragraphs>
  <TotalTime>0</TotalTime>
  <ScaleCrop>false</ScaleCrop>
  <LinksUpToDate>false</LinksUpToDate>
  <CharactersWithSpaces>4306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2019-09-03T03:11:00Z</dcterms:created>
  <dc:creator>岁月静好现世安稳</dc:creator>
  <cp:lastModifiedBy>wh</cp:lastModifiedBy>
  <cp:lastPrinted>2019-12-26T02:25:00Z</cp:lastPrinted>
  <dcterms:modified xsi:type="dcterms:W3CDTF">2021-10-26T07:52:15Z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4214B30EE86645729D196AA9948E6F1B</vt:lpwstr>
  </property>
</Properties>
</file>