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高平市能源局</w:t>
      </w:r>
      <w:r>
        <w:rPr>
          <w:rFonts w:hint="eastAsia" w:ascii="黑体" w:hAnsi="黑体" w:eastAsia="黑体" w:cs="黑体"/>
          <w:b/>
          <w:bCs/>
          <w:color w:val="auto"/>
          <w:sz w:val="44"/>
          <w:szCs w:val="44"/>
          <w:lang w:val="en-US" w:eastAsia="zh-CN"/>
        </w:rPr>
        <w:t>行政执法事项</w:t>
      </w:r>
      <w:bookmarkStart w:id="0" w:name="_GoBack"/>
      <w:bookmarkEnd w:id="0"/>
      <w:r>
        <w:rPr>
          <w:rFonts w:hint="eastAsia" w:ascii="黑体" w:hAnsi="黑体" w:eastAsia="黑体" w:cs="黑体"/>
          <w:b/>
          <w:bCs/>
          <w:color w:val="auto"/>
          <w:sz w:val="44"/>
          <w:szCs w:val="44"/>
        </w:rPr>
        <w:t>清单</w:t>
      </w:r>
    </w:p>
    <w:tbl>
      <w:tblPr>
        <w:tblStyle w:val="7"/>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1910"/>
        <w:gridCol w:w="1767"/>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事项编码</w:t>
            </w:r>
          </w:p>
        </w:tc>
        <w:tc>
          <w:tcPr>
            <w:tcW w:w="2171" w:type="dxa"/>
            <w:gridSpan w:val="2"/>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事项名称</w:t>
            </w:r>
          </w:p>
        </w:tc>
        <w:tc>
          <w:tcPr>
            <w:tcW w:w="1277"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实施主体</w:t>
            </w:r>
          </w:p>
        </w:tc>
        <w:tc>
          <w:tcPr>
            <w:tcW w:w="850"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事项类别</w:t>
            </w:r>
          </w:p>
        </w:tc>
        <w:tc>
          <w:tcPr>
            <w:tcW w:w="1910"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事项依据</w:t>
            </w:r>
          </w:p>
        </w:tc>
        <w:tc>
          <w:tcPr>
            <w:tcW w:w="1767"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责任事项</w:t>
            </w:r>
          </w:p>
        </w:tc>
        <w:tc>
          <w:tcPr>
            <w:tcW w:w="4898"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color w:val="auto"/>
                <w:sz w:val="24"/>
              </w:rPr>
            </w:pPr>
          </w:p>
        </w:tc>
        <w:tc>
          <w:tcPr>
            <w:tcW w:w="1113" w:type="dxa"/>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大项</w:t>
            </w:r>
          </w:p>
        </w:tc>
        <w:tc>
          <w:tcPr>
            <w:tcW w:w="1058" w:type="dxa"/>
            <w:vAlign w:val="center"/>
          </w:tcPr>
          <w:p>
            <w:pPr>
              <w:spacing w:beforeLines="50" w:afterLines="50"/>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子项</w:t>
            </w:r>
          </w:p>
        </w:tc>
        <w:tc>
          <w:tcPr>
            <w:tcW w:w="1277" w:type="dxa"/>
            <w:vMerge w:val="continue"/>
            <w:vAlign w:val="center"/>
          </w:tcPr>
          <w:p>
            <w:pPr>
              <w:spacing w:beforeLines="50" w:afterLines="50"/>
              <w:jc w:val="center"/>
              <w:rPr>
                <w:rFonts w:asciiTheme="minorEastAsia" w:hAnsiTheme="minorEastAsia" w:cstheme="minorEastAsia"/>
                <w:b/>
                <w:bCs/>
                <w:color w:val="auto"/>
                <w:sz w:val="24"/>
              </w:rPr>
            </w:pPr>
          </w:p>
        </w:tc>
        <w:tc>
          <w:tcPr>
            <w:tcW w:w="850" w:type="dxa"/>
            <w:vMerge w:val="continue"/>
            <w:vAlign w:val="center"/>
          </w:tcPr>
          <w:p>
            <w:pPr>
              <w:spacing w:beforeLines="50" w:afterLines="50"/>
              <w:jc w:val="center"/>
              <w:rPr>
                <w:rFonts w:asciiTheme="minorEastAsia" w:hAnsiTheme="minorEastAsia" w:cstheme="minorEastAsia"/>
                <w:b/>
                <w:bCs/>
                <w:color w:val="auto"/>
                <w:sz w:val="24"/>
              </w:rPr>
            </w:pPr>
          </w:p>
        </w:tc>
        <w:tc>
          <w:tcPr>
            <w:tcW w:w="1910" w:type="dxa"/>
            <w:vMerge w:val="continue"/>
            <w:vAlign w:val="center"/>
          </w:tcPr>
          <w:p>
            <w:pPr>
              <w:spacing w:beforeLines="50" w:afterLines="50"/>
              <w:jc w:val="center"/>
              <w:rPr>
                <w:rFonts w:asciiTheme="minorEastAsia" w:hAnsiTheme="minorEastAsia" w:cstheme="minorEastAsia"/>
                <w:b/>
                <w:bCs/>
                <w:color w:val="auto"/>
                <w:sz w:val="24"/>
              </w:rPr>
            </w:pPr>
          </w:p>
        </w:tc>
        <w:tc>
          <w:tcPr>
            <w:tcW w:w="1767" w:type="dxa"/>
            <w:vMerge w:val="continue"/>
            <w:vAlign w:val="center"/>
          </w:tcPr>
          <w:p>
            <w:pPr>
              <w:spacing w:beforeLines="50" w:afterLines="50"/>
              <w:jc w:val="center"/>
              <w:rPr>
                <w:rFonts w:asciiTheme="minorEastAsia" w:hAnsiTheme="minorEastAsia" w:cstheme="minorEastAsia"/>
                <w:b/>
                <w:bCs/>
                <w:color w:val="auto"/>
                <w:sz w:val="24"/>
              </w:rPr>
            </w:pPr>
          </w:p>
        </w:tc>
        <w:tc>
          <w:tcPr>
            <w:tcW w:w="4898" w:type="dxa"/>
            <w:vMerge w:val="continue"/>
            <w:vAlign w:val="center"/>
          </w:tcPr>
          <w:p>
            <w:pPr>
              <w:spacing w:beforeLines="50" w:afterLines="50"/>
              <w:jc w:val="center"/>
              <w:rPr>
                <w:rFonts w:asciiTheme="minorEastAsia" w:hAnsiTheme="minorEastAsia" w:cstheme="minorEastAsia"/>
                <w:b/>
                <w:bCs/>
                <w:color w:val="auto"/>
                <w:sz w:val="24"/>
              </w:rPr>
            </w:pPr>
          </w:p>
        </w:tc>
        <w:tc>
          <w:tcPr>
            <w:tcW w:w="873" w:type="dxa"/>
            <w:vMerge w:val="continue"/>
            <w:vAlign w:val="center"/>
          </w:tcPr>
          <w:p>
            <w:pPr>
              <w:spacing w:beforeLines="50" w:afterLines="50"/>
              <w:jc w:val="center"/>
              <w:rPr>
                <w:rFonts w:asciiTheme="minorEastAsia" w:hAnsiTheme="minorEastAsia" w:cs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w:t>
            </w:r>
            <w:r>
              <w:rPr>
                <w:rFonts w:hint="eastAsia"/>
                <w:color w:val="auto"/>
              </w:rPr>
              <w:t>100-140581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对电力建设项目不符合发展规划、产业政策或者使用国家明令淘汰电力设备和技术的处罚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hint="eastAsia"/>
                <w:color w:val="auto"/>
              </w:rPr>
            </w:pPr>
            <w:r>
              <w:rPr>
                <w:rFonts w:hint="eastAsia" w:ascii="宋体" w:hAnsi="宋体" w:eastAsia="宋体" w:cs="宋体"/>
                <w:color w:val="auto"/>
                <w:kern w:val="0"/>
                <w:sz w:val="14"/>
                <w:szCs w:val="14"/>
              </w:rPr>
              <w:t xml:space="preserve">【法律】《电力法》第十四条 电力建设项目应当符合电力发展规划，符合国家电力产业政策。电力建设项目 不得使用国家明令淘汰的电力设备和技术。 </w:t>
            </w:r>
          </w:p>
          <w:p>
            <w:pPr>
              <w:widowControl/>
              <w:jc w:val="left"/>
              <w:rPr>
                <w:rFonts w:hint="eastAsia"/>
                <w:color w:val="auto"/>
              </w:rPr>
            </w:pPr>
            <w:r>
              <w:rPr>
                <w:rFonts w:hint="eastAsia" w:ascii="宋体" w:hAnsi="宋体" w:eastAsia="宋体" w:cs="宋体"/>
                <w:color w:val="auto"/>
                <w:kern w:val="0"/>
                <w:sz w:val="14"/>
                <w:szCs w:val="14"/>
              </w:rPr>
              <w:t xml:space="preserve">第六十二条 违反本法第十四条规定，电力建设项目不符合电力发展规划、产业政策的，由电力管理部门责令停止建设。 </w:t>
            </w:r>
          </w:p>
          <w:p>
            <w:pPr>
              <w:widowControl/>
              <w:jc w:val="left"/>
              <w:rPr>
                <w:rFonts w:ascii="仿宋" w:hAnsi="仿宋" w:eastAsia="仿宋" w:cs="仿宋"/>
                <w:color w:val="auto"/>
                <w:sz w:val="15"/>
                <w:szCs w:val="15"/>
              </w:rPr>
            </w:pPr>
            <w:r>
              <w:rPr>
                <w:rFonts w:hint="eastAsia" w:ascii="宋体" w:hAnsi="宋体" w:eastAsia="宋体" w:cs="宋体"/>
                <w:color w:val="auto"/>
                <w:kern w:val="0"/>
                <w:sz w:val="14"/>
                <w:szCs w:val="14"/>
              </w:rPr>
              <w:t>违反本法第十四条规定，电力建设项目使用国家明令淘汰的电力设备和技术的，由电力管理部门责令停止使用，没收国家明令淘汰的电力设备，并处五万元以下的罚款。</w:t>
            </w:r>
          </w:p>
        </w:tc>
        <w:tc>
          <w:tcPr>
            <w:tcW w:w="1767"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1.《行政处罚法》第</w:t>
            </w:r>
            <w:r>
              <w:rPr>
                <w:rFonts w:hint="eastAsia" w:ascii="宋体" w:hAnsi="宋体" w:eastAsia="宋体" w:cs="宋体"/>
                <w:color w:val="FF0000"/>
                <w:kern w:val="0"/>
                <w:sz w:val="16"/>
                <w:szCs w:val="16"/>
                <w:lang w:val="en-US" w:eastAsia="zh-CN"/>
              </w:rPr>
              <w:t>五十四</w:t>
            </w:r>
            <w:r>
              <w:rPr>
                <w:rFonts w:hint="eastAsia" w:ascii="宋体" w:hAnsi="宋体" w:eastAsia="宋体" w:cs="宋体"/>
                <w:color w:val="FF0000"/>
                <w:kern w:val="0"/>
                <w:sz w:val="16"/>
                <w:szCs w:val="16"/>
              </w:rPr>
              <w:t>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2.《行政处罚法》第四十三条、第五十五条、第五十六条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FF0000"/>
                <w:kern w:val="0"/>
                <w:sz w:val="16"/>
                <w:szCs w:val="16"/>
              </w:rPr>
            </w:pPr>
            <w:r>
              <w:rPr>
                <w:rFonts w:hint="eastAsia" w:ascii="宋体" w:hAnsi="宋体" w:eastAsia="宋体" w:cs="宋体"/>
                <w:color w:val="FF0000"/>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3.《行政处罚法》第</w:t>
            </w:r>
            <w:r>
              <w:rPr>
                <w:rFonts w:hint="eastAsia" w:ascii="宋体" w:hAnsi="宋体" w:eastAsia="宋体" w:cs="宋体"/>
                <w:color w:val="FF0000"/>
                <w:kern w:val="0"/>
                <w:sz w:val="16"/>
                <w:szCs w:val="16"/>
                <w:lang w:val="en-US" w:eastAsia="zh-CN"/>
              </w:rPr>
              <w:t>五十七</w:t>
            </w:r>
            <w:r>
              <w:rPr>
                <w:rFonts w:hint="eastAsia" w:ascii="宋体" w:hAnsi="宋体" w:eastAsia="宋体" w:cs="宋体"/>
                <w:color w:val="FF0000"/>
                <w:kern w:val="0"/>
                <w:sz w:val="16"/>
                <w:szCs w:val="16"/>
              </w:rPr>
              <w:t>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4.《行政处罚法》</w:t>
            </w:r>
            <w:r>
              <w:rPr>
                <w:rFonts w:hint="eastAsia" w:ascii="宋体" w:hAnsi="宋体" w:eastAsia="宋体" w:cs="宋体"/>
                <w:color w:val="FF0000"/>
                <w:kern w:val="0"/>
                <w:sz w:val="16"/>
                <w:szCs w:val="16"/>
                <w:lang w:val="en-US" w:eastAsia="zh-CN"/>
              </w:rPr>
              <w:t>四十四</w:t>
            </w:r>
            <w:r>
              <w:rPr>
                <w:rFonts w:hint="eastAsia" w:ascii="宋体" w:hAnsi="宋体" w:eastAsia="宋体" w:cs="宋体"/>
                <w:color w:val="FF0000"/>
                <w:kern w:val="0"/>
                <w:sz w:val="16"/>
                <w:szCs w:val="16"/>
              </w:rPr>
              <w:t>条 第</w:t>
            </w:r>
            <w:r>
              <w:rPr>
                <w:rFonts w:hint="eastAsia" w:ascii="宋体" w:hAnsi="宋体" w:eastAsia="宋体" w:cs="宋体"/>
                <w:color w:val="FF0000"/>
                <w:kern w:val="0"/>
                <w:sz w:val="16"/>
                <w:szCs w:val="16"/>
                <w:lang w:val="en-US" w:eastAsia="zh-CN"/>
              </w:rPr>
              <w:t>四十五</w:t>
            </w:r>
            <w:r>
              <w:rPr>
                <w:rFonts w:hint="eastAsia" w:ascii="宋体" w:hAnsi="宋体" w:eastAsia="宋体" w:cs="宋体"/>
                <w:color w:val="FF0000"/>
                <w:kern w:val="0"/>
                <w:sz w:val="16"/>
                <w:szCs w:val="16"/>
              </w:rPr>
              <w:t>条 第</w:t>
            </w:r>
            <w:r>
              <w:rPr>
                <w:rFonts w:hint="eastAsia" w:ascii="宋体" w:hAnsi="宋体" w:eastAsia="宋体" w:cs="宋体"/>
                <w:color w:val="FF0000"/>
                <w:kern w:val="0"/>
                <w:sz w:val="16"/>
                <w:szCs w:val="16"/>
                <w:lang w:val="en-US" w:eastAsia="zh-CN"/>
              </w:rPr>
              <w:t>六十二</w:t>
            </w:r>
            <w:r>
              <w:rPr>
                <w:rFonts w:hint="eastAsia" w:ascii="宋体" w:hAnsi="宋体" w:eastAsia="宋体" w:cs="宋体"/>
                <w:color w:val="FF0000"/>
                <w:kern w:val="0"/>
                <w:sz w:val="16"/>
                <w:szCs w:val="16"/>
              </w:rPr>
              <w:t>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5.《行政处罚法》第</w:t>
            </w:r>
            <w:r>
              <w:rPr>
                <w:rFonts w:hint="eastAsia" w:ascii="宋体" w:hAnsi="宋体" w:eastAsia="宋体" w:cs="宋体"/>
                <w:color w:val="FF0000"/>
                <w:kern w:val="0"/>
                <w:sz w:val="16"/>
                <w:szCs w:val="16"/>
                <w:lang w:val="en-US" w:eastAsia="zh-CN"/>
              </w:rPr>
              <w:t>五</w:t>
            </w:r>
            <w:r>
              <w:rPr>
                <w:rFonts w:hint="eastAsia" w:ascii="宋体" w:hAnsi="宋体" w:eastAsia="宋体" w:cs="宋体"/>
                <w:color w:val="FF0000"/>
                <w:kern w:val="0"/>
                <w:sz w:val="16"/>
                <w:szCs w:val="16"/>
              </w:rPr>
              <w:t>十九条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6-1.《行政处罚法》第</w:t>
            </w:r>
            <w:r>
              <w:rPr>
                <w:rFonts w:hint="eastAsia" w:ascii="宋体" w:hAnsi="宋体" w:eastAsia="宋体" w:cs="宋体"/>
                <w:color w:val="FF0000"/>
                <w:kern w:val="0"/>
                <w:sz w:val="16"/>
                <w:szCs w:val="16"/>
                <w:lang w:val="en-US" w:eastAsia="zh-CN"/>
              </w:rPr>
              <w:t>六十一</w:t>
            </w:r>
            <w:r>
              <w:rPr>
                <w:rFonts w:hint="eastAsia" w:ascii="宋体" w:hAnsi="宋体" w:eastAsia="宋体" w:cs="宋体"/>
                <w:color w:val="FF0000"/>
                <w:kern w:val="0"/>
                <w:sz w:val="16"/>
                <w:szCs w:val="16"/>
              </w:rPr>
              <w:t>条</w:t>
            </w:r>
          </w:p>
          <w:p>
            <w:pPr>
              <w:widowControl/>
              <w:spacing w:line="240" w:lineRule="exact"/>
              <w:jc w:val="left"/>
              <w:rPr>
                <w:rFonts w:hint="eastAsia" w:ascii="宋体" w:hAnsi="宋体" w:eastAsia="宋体" w:cs="宋体"/>
                <w:color w:val="FF0000"/>
                <w:kern w:val="0"/>
                <w:sz w:val="16"/>
                <w:szCs w:val="16"/>
              </w:rPr>
            </w:pPr>
            <w:r>
              <w:rPr>
                <w:rFonts w:hint="eastAsia" w:ascii="宋体" w:hAnsi="宋体" w:eastAsia="宋体" w:cs="宋体"/>
                <w:color w:val="FF0000"/>
                <w:kern w:val="0"/>
                <w:sz w:val="16"/>
                <w:szCs w:val="16"/>
              </w:rPr>
              <w:t>6-2.《山西省行政执法条例》 第二十九条：</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FF0000"/>
                <w:kern w:val="0"/>
                <w:sz w:val="16"/>
                <w:szCs w:val="16"/>
              </w:rPr>
            </w:pPr>
            <w:r>
              <w:rPr>
                <w:rFonts w:hint="eastAsia" w:ascii="宋体" w:hAnsi="宋体" w:eastAsia="宋体" w:cs="宋体"/>
                <w:color w:val="FF0000"/>
                <w:kern w:val="0"/>
                <w:sz w:val="16"/>
                <w:szCs w:val="16"/>
              </w:rPr>
              <w:t>7.《行政处罚法》第</w:t>
            </w:r>
            <w:r>
              <w:rPr>
                <w:rFonts w:hint="eastAsia" w:ascii="宋体" w:hAnsi="宋体" w:eastAsia="宋体" w:cs="宋体"/>
                <w:color w:val="FF0000"/>
                <w:kern w:val="0"/>
                <w:sz w:val="16"/>
                <w:szCs w:val="16"/>
                <w:lang w:val="en-US" w:eastAsia="zh-CN"/>
              </w:rPr>
              <w:t>六十六</w:t>
            </w:r>
            <w:r>
              <w:rPr>
                <w:rFonts w:hint="eastAsia" w:ascii="宋体" w:hAnsi="宋体" w:eastAsia="宋体" w:cs="宋体"/>
                <w:color w:val="FF0000"/>
                <w:kern w:val="0"/>
                <w:sz w:val="16"/>
                <w:szCs w:val="16"/>
              </w:rPr>
              <w:t>条 第</w:t>
            </w:r>
            <w:r>
              <w:rPr>
                <w:rFonts w:hint="eastAsia" w:ascii="宋体" w:hAnsi="宋体" w:eastAsia="宋体" w:cs="宋体"/>
                <w:color w:val="FF0000"/>
                <w:kern w:val="0"/>
                <w:sz w:val="16"/>
                <w:szCs w:val="16"/>
                <w:lang w:val="en-US" w:eastAsia="zh-CN"/>
              </w:rPr>
              <w:t>七十二</w:t>
            </w:r>
            <w:r>
              <w:rPr>
                <w:rFonts w:hint="eastAsia" w:ascii="宋体" w:hAnsi="宋体" w:eastAsia="宋体" w:cs="宋体"/>
                <w:color w:val="FF0000"/>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2"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02</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对未经许可从事供电或者变更供电营业区等违法行为的处罚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0"/>
                <w:sz w:val="13"/>
                <w:szCs w:val="13"/>
              </w:rPr>
            </w:pPr>
            <w:r>
              <w:rPr>
                <w:rFonts w:hint="eastAsia" w:ascii="宋体" w:hAnsi="宋体" w:eastAsia="宋体" w:cs="宋体"/>
                <w:color w:val="auto"/>
                <w:kern w:val="0"/>
                <w:sz w:val="13"/>
                <w:szCs w:val="13"/>
              </w:rPr>
              <w:t>【法律】《电力法》第二十五条</w:t>
            </w:r>
            <w:r>
              <w:rPr>
                <w:rFonts w:hint="eastAsia" w:ascii="宋体" w:hAnsi="宋体" w:eastAsia="宋体" w:cs="宋体"/>
                <w:color w:val="auto"/>
                <w:kern w:val="0"/>
                <w:sz w:val="13"/>
                <w:szCs w:val="13"/>
                <w:lang w:val="en-US" w:eastAsia="zh-CN"/>
              </w:rPr>
              <w:t>供电营业区的划分，应当考虑电网的结构和供电合理性等因素。一个供电营业区内只设立一个供电营业机构。</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0"/>
                <w:sz w:val="13"/>
                <w:szCs w:val="13"/>
                <w:lang w:val="en-US" w:eastAsia="zh-CN"/>
              </w:rPr>
            </w:pPr>
            <w:r>
              <w:rPr>
                <w:rFonts w:hint="eastAsia" w:ascii="宋体" w:hAnsi="宋体" w:eastAsia="宋体" w:cs="宋体"/>
                <w:color w:val="auto"/>
                <w:kern w:val="0"/>
                <w:sz w:val="13"/>
                <w:szCs w:val="13"/>
                <w:lang w:val="en-US" w:eastAsia="zh-CN"/>
              </w:rPr>
              <w:t>供电营业区的设立、变更，由供电企业提出申请，电力管理部门依据职责和管理权限，会同同级有关部门审查批准后，发给《电力业务许可证》。供电营业区设立、变更的具体办法，由国务院电力管理部门制定。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FF0000"/>
                <w:kern w:val="0"/>
                <w:sz w:val="13"/>
                <w:szCs w:val="13"/>
              </w:rPr>
            </w:pPr>
            <w:r>
              <w:rPr>
                <w:rFonts w:hint="eastAsia" w:ascii="宋体" w:hAnsi="宋体" w:eastAsia="宋体" w:cs="宋体"/>
                <w:color w:val="FF0000"/>
                <w:kern w:val="0"/>
                <w:sz w:val="13"/>
                <w:szCs w:val="13"/>
                <w:lang w:val="en-US" w:eastAsia="zh-CN"/>
              </w:rPr>
              <w:t>【行政法规】《电力供应与使用条例》第九条：供电营业区的设立、变更，由供电企业提出申请，电力管理部门依据职责和管理权限，会同同级有关部门审查批准后，发给《电力业务许可证》。电网经营企业应当根据电网结构和供电合理性的原则协助电力管理部门划分供电营业区。供电营业区的划分和管理办法，由国务院电力管理部门制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hAnsi="仿宋" w:eastAsia="仿宋" w:cs="仿宋"/>
                <w:color w:val="auto"/>
                <w:sz w:val="13"/>
                <w:szCs w:val="13"/>
              </w:rPr>
            </w:pPr>
            <w:r>
              <w:rPr>
                <w:rFonts w:hint="eastAsia" w:ascii="宋体" w:hAnsi="宋体" w:eastAsia="宋体" w:cs="宋体"/>
                <w:color w:val="auto"/>
                <w:kern w:val="0"/>
                <w:sz w:val="13"/>
                <w:szCs w:val="13"/>
              </w:rPr>
              <w:t>【法律】《电力法》第六十三条 违反本法第二十五条规定，未经许可，从事供电或者变更供电营业区的，由电力管理部门责令改正，没收违法所得，可以并处违法所得五倍以下的罚款。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03</w:t>
            </w:r>
            <w:r>
              <w:rPr>
                <w:rFonts w:hint="eastAsia"/>
                <w:color w:val="auto"/>
              </w:rPr>
              <w:t>00-140581</w:t>
            </w:r>
          </w:p>
        </w:tc>
        <w:tc>
          <w:tcPr>
            <w:tcW w:w="1113" w:type="dxa"/>
            <w:vAlign w:val="center"/>
          </w:tcPr>
          <w:p>
            <w:pPr>
              <w:widowControl/>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对危害供电、用电安全或者扰乱供电、用电秩序的处罚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color w:val="auto"/>
                <w:sz w:val="11"/>
                <w:szCs w:val="11"/>
              </w:rPr>
            </w:pPr>
            <w:r>
              <w:rPr>
                <w:rFonts w:hint="eastAsia" w:ascii="宋体" w:hAnsi="宋体" w:eastAsia="宋体" w:cs="宋体"/>
                <w:color w:val="auto"/>
                <w:kern w:val="0"/>
                <w:sz w:val="11"/>
                <w:szCs w:val="11"/>
              </w:rPr>
              <w:t xml:space="preserve">【法律】《电力法》第三十二条 用户用电不得危害供电、用电安全和扰乱供电、用电秩序。对危害供电、用电安全和扰乱供电、用电秩序的，供电企业有权制止。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color w:val="auto"/>
                <w:sz w:val="11"/>
                <w:szCs w:val="11"/>
              </w:rPr>
            </w:pPr>
            <w:r>
              <w:rPr>
                <w:rFonts w:hint="eastAsia" w:ascii="宋体" w:hAnsi="宋体" w:eastAsia="宋体" w:cs="宋体"/>
                <w:color w:val="auto"/>
                <w:kern w:val="0"/>
                <w:sz w:val="11"/>
                <w:szCs w:val="11"/>
              </w:rPr>
              <w:t xml:space="preserve">第六十五条 违反本法第三十二条规定，危害供电、用电安全或者扰乱供电、用电秩序 的，由电力管理部门责令改正，给予警告；情节严重或者拒绝改正的，可以中止供电，可以并处五万元以下的罚款。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color w:val="auto"/>
                <w:sz w:val="11"/>
                <w:szCs w:val="11"/>
              </w:rPr>
            </w:pPr>
            <w:r>
              <w:rPr>
                <w:rFonts w:hint="eastAsia" w:ascii="宋体" w:hAnsi="宋体" w:eastAsia="宋体" w:cs="宋体"/>
                <w:color w:val="auto"/>
                <w:kern w:val="0"/>
                <w:sz w:val="11"/>
                <w:szCs w:val="11"/>
              </w:rPr>
              <w:t>【规章】《供用电监督管理办法》（1996年电力工业部令第4号</w:t>
            </w:r>
            <w:r>
              <w:rPr>
                <w:rFonts w:hint="eastAsia" w:ascii="宋体" w:hAnsi="宋体" w:eastAsia="宋体" w:cs="宋体"/>
                <w:color w:val="auto"/>
                <w:kern w:val="0"/>
                <w:sz w:val="11"/>
                <w:szCs w:val="11"/>
                <w:lang w:eastAsia="zh-CN"/>
              </w:rPr>
              <w:t>， 根据2011年6月30日国家发展和改革委员会令第10号修改</w:t>
            </w:r>
            <w:r>
              <w:rPr>
                <w:rFonts w:hint="eastAsia" w:ascii="宋体" w:hAnsi="宋体" w:eastAsia="宋体" w:cs="宋体"/>
                <w:color w:val="auto"/>
                <w:kern w:val="0"/>
                <w:sz w:val="11"/>
                <w:szCs w:val="11"/>
              </w:rPr>
              <w:t xml:space="preserve">）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i w:val="0"/>
                <w:caps w:val="0"/>
                <w:color w:val="auto"/>
                <w:spacing w:val="0"/>
                <w:sz w:val="11"/>
                <w:szCs w:val="11"/>
              </w:rPr>
            </w:pPr>
            <w:r>
              <w:rPr>
                <w:rFonts w:hint="eastAsia" w:ascii="宋体" w:hAnsi="宋体" w:eastAsia="宋体" w:cs="宋体"/>
                <w:color w:val="auto"/>
                <w:kern w:val="0"/>
                <w:sz w:val="11"/>
                <w:szCs w:val="11"/>
              </w:rPr>
              <w:t>第二十八条 电力管理部门对危害供电、用电安全，扰乱正常供电、用电秩序的行为，除 协助供电企业追缴电费外，应分别给予下列处罚：</w:t>
            </w:r>
            <w:r>
              <w:rPr>
                <w:rFonts w:hint="eastAsia" w:ascii="宋体" w:hAnsi="宋体" w:eastAsia="宋体" w:cs="宋体"/>
                <w:i w:val="0"/>
                <w:caps w:val="0"/>
                <w:color w:val="auto"/>
                <w:spacing w:val="0"/>
                <w:sz w:val="11"/>
                <w:szCs w:val="11"/>
                <w:shd w:val="clear" w:fill="FFFFFF"/>
              </w:rPr>
              <w:t>1</w:t>
            </w:r>
            <w:r>
              <w:rPr>
                <w:rFonts w:ascii="方正书宋简体" w:hAnsi="方正书宋简体" w:eastAsia="方正书宋简体" w:cs="方正书宋简体"/>
                <w:i w:val="0"/>
                <w:caps w:val="0"/>
                <w:color w:val="auto"/>
                <w:spacing w:val="0"/>
                <w:sz w:val="11"/>
                <w:szCs w:val="11"/>
                <w:shd w:val="clear" w:fill="FFFFFF"/>
              </w:rPr>
              <w:t>、擅自改变用电类别的，应责令其改正，给予警告；再次发生的，可下达中止供电命令，并处以一万元以下的罚款。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0" w:lineRule="exact"/>
              <w:ind w:right="0"/>
              <w:textAlignment w:val="auto"/>
              <w:rPr>
                <w:rFonts w:hint="eastAsia" w:ascii="宋体" w:hAnsi="宋体" w:eastAsia="宋体" w:cs="宋体"/>
                <w:i w:val="0"/>
                <w:caps w:val="0"/>
                <w:color w:val="auto"/>
                <w:spacing w:val="0"/>
                <w:sz w:val="11"/>
                <w:szCs w:val="11"/>
              </w:rPr>
            </w:pPr>
            <w:r>
              <w:rPr>
                <w:rFonts w:hint="eastAsia" w:ascii="宋体" w:hAnsi="宋体" w:eastAsia="宋体" w:cs="宋体"/>
                <w:i w:val="0"/>
                <w:caps w:val="0"/>
                <w:color w:val="auto"/>
                <w:spacing w:val="0"/>
                <w:sz w:val="11"/>
                <w:szCs w:val="11"/>
                <w:shd w:val="clear" w:fill="FFFFFF"/>
              </w:rPr>
              <w:t>2</w:t>
            </w:r>
            <w:r>
              <w:rPr>
                <w:rFonts w:hint="default" w:ascii="方正书宋简体" w:hAnsi="方正书宋简体" w:eastAsia="方正书宋简体" w:cs="方正书宋简体"/>
                <w:i w:val="0"/>
                <w:caps w:val="0"/>
                <w:color w:val="auto"/>
                <w:spacing w:val="0"/>
                <w:sz w:val="11"/>
                <w:szCs w:val="11"/>
                <w:shd w:val="clear" w:fill="FFFFFF"/>
              </w:rPr>
              <w:t>、擅自超过合同约定的容量用电的，应责令其改正，给予警告；拒绝改正的，可下达中止供电命令，并按私增容量每千瓦（或每千伏安）</w:t>
            </w:r>
            <w:r>
              <w:rPr>
                <w:rFonts w:hint="eastAsia" w:ascii="宋体" w:hAnsi="宋体" w:eastAsia="宋体" w:cs="宋体"/>
                <w:i w:val="0"/>
                <w:caps w:val="0"/>
                <w:color w:val="auto"/>
                <w:spacing w:val="0"/>
                <w:sz w:val="11"/>
                <w:szCs w:val="11"/>
                <w:shd w:val="clear" w:fill="FFFFFF"/>
              </w:rPr>
              <w:t>100</w:t>
            </w:r>
            <w:r>
              <w:rPr>
                <w:rFonts w:hint="default" w:ascii="方正书宋简体" w:hAnsi="方正书宋简体" w:eastAsia="方正书宋简体" w:cs="方正书宋简体"/>
                <w:i w:val="0"/>
                <w:caps w:val="0"/>
                <w:color w:val="auto"/>
                <w:spacing w:val="0"/>
                <w:sz w:val="11"/>
                <w:szCs w:val="11"/>
                <w:shd w:val="clear" w:fill="FFFFFF"/>
              </w:rPr>
              <w:t>元，累计总额不超过五万元的罚款。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0" w:lineRule="exact"/>
              <w:ind w:right="0"/>
              <w:textAlignment w:val="auto"/>
              <w:rPr>
                <w:rFonts w:hint="eastAsia" w:ascii="宋体" w:hAnsi="宋体" w:eastAsia="宋体" w:cs="宋体"/>
                <w:i w:val="0"/>
                <w:caps w:val="0"/>
                <w:color w:val="auto"/>
                <w:spacing w:val="0"/>
                <w:sz w:val="11"/>
                <w:szCs w:val="11"/>
              </w:rPr>
            </w:pPr>
            <w:r>
              <w:rPr>
                <w:rFonts w:hint="eastAsia" w:ascii="宋体" w:hAnsi="宋体" w:eastAsia="宋体" w:cs="宋体"/>
                <w:i w:val="0"/>
                <w:caps w:val="0"/>
                <w:color w:val="auto"/>
                <w:spacing w:val="0"/>
                <w:sz w:val="11"/>
                <w:szCs w:val="11"/>
                <w:shd w:val="clear" w:fill="FFFFFF"/>
              </w:rPr>
              <w:t>3</w:t>
            </w:r>
            <w:r>
              <w:rPr>
                <w:rFonts w:hint="default" w:ascii="方正书宋简体" w:hAnsi="方正书宋简体" w:eastAsia="方正书宋简体" w:cs="方正书宋简体"/>
                <w:i w:val="0"/>
                <w:caps w:val="0"/>
                <w:color w:val="auto"/>
                <w:spacing w:val="0"/>
                <w:sz w:val="11"/>
                <w:szCs w:val="11"/>
                <w:shd w:val="clear" w:fill="FFFFFF"/>
              </w:rPr>
              <w:t>、擅自超过计划分配的用电指标用电的，应责令其改正，给予警告，并按超用电力、电量分别处以每千瓦每次</w:t>
            </w:r>
            <w:r>
              <w:rPr>
                <w:rFonts w:hint="eastAsia" w:ascii="宋体" w:hAnsi="宋体" w:eastAsia="宋体" w:cs="宋体"/>
                <w:i w:val="0"/>
                <w:caps w:val="0"/>
                <w:color w:val="auto"/>
                <w:spacing w:val="0"/>
                <w:sz w:val="11"/>
                <w:szCs w:val="11"/>
                <w:shd w:val="clear" w:fill="FFFFFF"/>
              </w:rPr>
              <w:t>5</w:t>
            </w:r>
            <w:r>
              <w:rPr>
                <w:rFonts w:hint="default" w:ascii="方正书宋简体" w:hAnsi="方正书宋简体" w:eastAsia="方正书宋简体" w:cs="方正书宋简体"/>
                <w:i w:val="0"/>
                <w:caps w:val="0"/>
                <w:color w:val="auto"/>
                <w:spacing w:val="0"/>
                <w:sz w:val="11"/>
                <w:szCs w:val="11"/>
                <w:shd w:val="clear" w:fill="FFFFFF"/>
              </w:rPr>
              <w:t>元和每千瓦时</w:t>
            </w:r>
            <w:r>
              <w:rPr>
                <w:rFonts w:hint="eastAsia" w:ascii="宋体" w:hAnsi="宋体" w:eastAsia="宋体" w:cs="宋体"/>
                <w:i w:val="0"/>
                <w:caps w:val="0"/>
                <w:color w:val="auto"/>
                <w:spacing w:val="0"/>
                <w:sz w:val="11"/>
                <w:szCs w:val="11"/>
                <w:shd w:val="clear" w:fill="FFFFFF"/>
              </w:rPr>
              <w:t>10</w:t>
            </w:r>
            <w:r>
              <w:rPr>
                <w:rFonts w:hint="default" w:ascii="方正书宋简体" w:hAnsi="方正书宋简体" w:eastAsia="方正书宋简体" w:cs="方正书宋简体"/>
                <w:i w:val="0"/>
                <w:caps w:val="0"/>
                <w:color w:val="auto"/>
                <w:spacing w:val="0"/>
                <w:sz w:val="11"/>
                <w:szCs w:val="11"/>
                <w:shd w:val="clear" w:fill="FFFFFF"/>
              </w:rPr>
              <w:t>倍电度电价，累计总额不超过五万元的罚款；拒绝改正的，可下达中止供电命令。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0" w:lineRule="exact"/>
              <w:ind w:right="0"/>
              <w:textAlignment w:val="auto"/>
              <w:rPr>
                <w:rFonts w:hint="eastAsia" w:ascii="宋体" w:hAnsi="宋体" w:eastAsia="宋体" w:cs="宋体"/>
                <w:i w:val="0"/>
                <w:caps w:val="0"/>
                <w:color w:val="auto"/>
                <w:spacing w:val="0"/>
                <w:sz w:val="11"/>
                <w:szCs w:val="11"/>
              </w:rPr>
            </w:pPr>
            <w:r>
              <w:rPr>
                <w:rFonts w:hint="eastAsia" w:ascii="宋体" w:hAnsi="宋体" w:eastAsia="宋体" w:cs="宋体"/>
                <w:i w:val="0"/>
                <w:caps w:val="0"/>
                <w:color w:val="auto"/>
                <w:spacing w:val="0"/>
                <w:sz w:val="11"/>
                <w:szCs w:val="11"/>
                <w:shd w:val="clear" w:fill="FFFFFF"/>
              </w:rPr>
              <w:t>4</w:t>
            </w:r>
            <w:r>
              <w:rPr>
                <w:rFonts w:hint="default" w:ascii="方正书宋简体" w:hAnsi="方正书宋简体" w:eastAsia="方正书宋简体" w:cs="方正书宋简体"/>
                <w:i w:val="0"/>
                <w:caps w:val="0"/>
                <w:color w:val="auto"/>
                <w:spacing w:val="0"/>
                <w:sz w:val="11"/>
                <w:szCs w:val="11"/>
                <w:shd w:val="clear" w:fill="FFFFFF"/>
              </w:rPr>
              <w:t>、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0" w:lineRule="exact"/>
              <w:ind w:right="0"/>
              <w:textAlignment w:val="auto"/>
              <w:rPr>
                <w:rFonts w:hint="eastAsia" w:ascii="宋体" w:hAnsi="宋体" w:eastAsia="宋体" w:cs="宋体"/>
                <w:i w:val="0"/>
                <w:caps w:val="0"/>
                <w:color w:val="auto"/>
                <w:spacing w:val="0"/>
                <w:sz w:val="11"/>
                <w:szCs w:val="11"/>
              </w:rPr>
            </w:pPr>
            <w:r>
              <w:rPr>
                <w:rFonts w:hint="eastAsia" w:ascii="宋体" w:hAnsi="宋体" w:eastAsia="宋体" w:cs="宋体"/>
                <w:i w:val="0"/>
                <w:caps w:val="0"/>
                <w:color w:val="auto"/>
                <w:spacing w:val="0"/>
                <w:sz w:val="11"/>
                <w:szCs w:val="11"/>
                <w:shd w:val="clear" w:fill="FFFFFF"/>
              </w:rPr>
              <w:t>5</w:t>
            </w:r>
            <w:r>
              <w:rPr>
                <w:rFonts w:hint="default" w:ascii="方正书宋简体" w:hAnsi="方正书宋简体" w:eastAsia="方正书宋简体" w:cs="方正书宋简体"/>
                <w:i w:val="0"/>
                <w:caps w:val="0"/>
                <w:color w:val="auto"/>
                <w:spacing w:val="0"/>
                <w:sz w:val="11"/>
                <w:szCs w:val="11"/>
                <w:shd w:val="clear" w:fill="FFFFFF"/>
              </w:rPr>
              <w:t>、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0" w:lineRule="exact"/>
              <w:ind w:right="0"/>
              <w:textAlignment w:val="auto"/>
              <w:rPr>
                <w:rFonts w:ascii="仿宋" w:hAnsi="仿宋" w:eastAsia="仿宋" w:cs="仿宋"/>
                <w:color w:val="auto"/>
                <w:sz w:val="15"/>
                <w:szCs w:val="15"/>
              </w:rPr>
            </w:pPr>
            <w:r>
              <w:rPr>
                <w:rFonts w:hint="eastAsia" w:ascii="宋体" w:hAnsi="宋体" w:eastAsia="宋体" w:cs="宋体"/>
                <w:i w:val="0"/>
                <w:caps w:val="0"/>
                <w:color w:val="auto"/>
                <w:spacing w:val="0"/>
                <w:sz w:val="11"/>
                <w:szCs w:val="11"/>
                <w:shd w:val="clear" w:fill="FFFFFF"/>
              </w:rPr>
              <w:t>6</w:t>
            </w:r>
            <w:r>
              <w:rPr>
                <w:rFonts w:hint="default" w:ascii="方正书宋简体" w:hAnsi="方正书宋简体" w:eastAsia="方正书宋简体" w:cs="方正书宋简体"/>
                <w:i w:val="0"/>
                <w:caps w:val="0"/>
                <w:color w:val="auto"/>
                <w:spacing w:val="0"/>
                <w:sz w:val="11"/>
                <w:szCs w:val="11"/>
                <w:shd w:val="clear" w:fill="FFFFFF"/>
              </w:rPr>
              <w:t>、未经供电企业许可，擅自引入、供出电力或者将自备电源擅自并网的，应责令其改正，给予警告；拒绝改正的，可下达中止供电命令，并处以五万元以下的罚款。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8"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04</w:t>
            </w:r>
            <w:r>
              <w:rPr>
                <w:rFonts w:hint="eastAsia"/>
                <w:color w:val="auto"/>
              </w:rPr>
              <w:t>00-140581</w:t>
            </w:r>
          </w:p>
        </w:tc>
        <w:tc>
          <w:tcPr>
            <w:tcW w:w="1113" w:type="dxa"/>
            <w:vAlign w:val="center"/>
          </w:tcPr>
          <w:p>
            <w:pPr>
              <w:widowControl/>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对盗窃电能的处罚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color w:val="auto"/>
                <w:sz w:val="15"/>
                <w:szCs w:val="15"/>
              </w:rPr>
            </w:pPr>
            <w:r>
              <w:rPr>
                <w:rFonts w:hint="eastAsia" w:ascii="宋体" w:hAnsi="宋体" w:eastAsia="宋体" w:cs="宋体"/>
                <w:color w:val="auto"/>
                <w:kern w:val="0"/>
                <w:sz w:val="15"/>
                <w:szCs w:val="15"/>
              </w:rPr>
              <w:t xml:space="preserve">【法律】《电力法》 第七十一条 盗窃电能的，由电力管理部门责令停止违法行为，追缴电费并处应交电费五倍以下的罚款；构成犯罪的，依照刑法有关规定追究刑事责任。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color w:val="auto"/>
                <w:sz w:val="15"/>
                <w:szCs w:val="15"/>
              </w:rPr>
            </w:pPr>
            <w:r>
              <w:rPr>
                <w:rFonts w:hint="eastAsia"/>
                <w:color w:val="auto"/>
                <w:sz w:val="15"/>
                <w:szCs w:val="15"/>
              </w:rPr>
              <w:t>【地方性规章】《山西省预防和查处窃电行为办法》（山西人民政府令第 178 号） 第二十四条第一款 对于查证属实的窃电行为，由县级以上电力管理部门责令停止违法行为，补交电费和违约使用电费，并处以2倍以上5倍以下的罚款；构成犯罪的，依法 追究刑事责任。第二款：单位窃电的，除依照前款规定处罚外，还应当由其上级主管部门或者行政监察机关对主要负责人和直接责任人员给予行政处分，并由县级以上电力管理部门将窃电单位在企业信用网站予以公布。 第二十五条 有下列行为之一的，由县级以上电力管理部门责令停止违法行为，并处以500元的罚款：（一） 教唆他人窃电的；（二）向他人传授窃电技术的；（三）为他人窃电提供便利的。</w:t>
            </w:r>
          </w:p>
          <w:p>
            <w:pPr>
              <w:widowControl/>
              <w:spacing w:line="300" w:lineRule="exact"/>
              <w:jc w:val="left"/>
              <w:rPr>
                <w:rFonts w:ascii="仿宋" w:hAnsi="仿宋" w:eastAsia="仿宋" w:cs="仿宋"/>
                <w:color w:val="auto"/>
                <w:sz w:val="18"/>
                <w:szCs w:val="18"/>
              </w:rPr>
            </w:pP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1"/>
                <w:szCs w:val="1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05</w:t>
            </w:r>
            <w:r>
              <w:rPr>
                <w:rFonts w:hint="eastAsia"/>
                <w:color w:val="auto"/>
              </w:rPr>
              <w:t>00-140581</w:t>
            </w:r>
          </w:p>
        </w:tc>
        <w:tc>
          <w:tcPr>
            <w:tcW w:w="1113" w:type="dxa"/>
            <w:vAlign w:val="center"/>
          </w:tcPr>
          <w:p>
            <w:pPr>
              <w:widowControl/>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对供电企业在发电、供电系统正常情况下，拒绝供电或中断供电的处罚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hint="eastAsia"/>
                <w:color w:val="auto"/>
              </w:rPr>
            </w:pPr>
            <w:r>
              <w:rPr>
                <w:rFonts w:hint="eastAsia" w:ascii="宋体" w:hAnsi="宋体" w:eastAsia="宋体" w:cs="宋体"/>
                <w:color w:val="auto"/>
                <w:kern w:val="0"/>
                <w:sz w:val="14"/>
                <w:szCs w:val="14"/>
              </w:rPr>
              <w:t xml:space="preserve">【法律】《电力法》 </w:t>
            </w:r>
          </w:p>
          <w:p>
            <w:pPr>
              <w:widowControl/>
              <w:jc w:val="left"/>
              <w:rPr>
                <w:rFonts w:hint="eastAsia"/>
                <w:color w:val="auto"/>
              </w:rPr>
            </w:pPr>
            <w:r>
              <w:rPr>
                <w:rFonts w:hint="eastAsia" w:ascii="宋体" w:hAnsi="宋体" w:eastAsia="宋体" w:cs="宋体"/>
                <w:color w:val="auto"/>
                <w:kern w:val="0"/>
                <w:sz w:val="14"/>
                <w:szCs w:val="14"/>
              </w:rPr>
              <w:t xml:space="preserve">第二十六条第一款供电营业区内的供电营业机构，对本营业区内的用户有按照国家规定供电的义务；不得违反国家规定对其营业区内申请用电的单位和个人拒绝供电。 </w:t>
            </w:r>
          </w:p>
          <w:p>
            <w:pPr>
              <w:widowControl/>
              <w:jc w:val="left"/>
              <w:rPr>
                <w:rFonts w:hint="eastAsia"/>
                <w:color w:val="auto"/>
              </w:rPr>
            </w:pPr>
            <w:r>
              <w:rPr>
                <w:rFonts w:hint="eastAsia" w:ascii="宋体" w:hAnsi="宋体" w:eastAsia="宋体" w:cs="宋体"/>
                <w:color w:val="auto"/>
                <w:kern w:val="0"/>
                <w:sz w:val="14"/>
                <w:szCs w:val="14"/>
              </w:rPr>
              <w:t xml:space="preserve">第二十九条 供电企业在发电、供电系统正常的情况下，应当连续向用户供电，不得中断。因供电设施检修、依法限电或者用户违法用电等原因，需要中断供电时，供电企业应当按照国家有关规定事先通 </w:t>
            </w:r>
          </w:p>
          <w:p>
            <w:pPr>
              <w:widowControl/>
              <w:jc w:val="left"/>
              <w:rPr>
                <w:rFonts w:hint="eastAsia"/>
                <w:color w:val="auto"/>
              </w:rPr>
            </w:pPr>
            <w:r>
              <w:rPr>
                <w:rFonts w:hint="eastAsia" w:ascii="宋体" w:hAnsi="宋体" w:eastAsia="宋体" w:cs="宋体"/>
                <w:color w:val="auto"/>
                <w:kern w:val="0"/>
                <w:sz w:val="14"/>
                <w:szCs w:val="14"/>
              </w:rPr>
              <w:t xml:space="preserve">知用户。 </w:t>
            </w:r>
          </w:p>
          <w:p>
            <w:pPr>
              <w:widowControl/>
              <w:jc w:val="left"/>
              <w:rPr>
                <w:rFonts w:hint="eastAsia"/>
                <w:color w:val="auto"/>
              </w:rPr>
            </w:pPr>
            <w:r>
              <w:rPr>
                <w:rFonts w:hint="eastAsia" w:ascii="宋体" w:hAnsi="宋体" w:eastAsia="宋体" w:cs="宋体"/>
                <w:color w:val="auto"/>
                <w:kern w:val="0"/>
                <w:sz w:val="14"/>
                <w:szCs w:val="14"/>
              </w:rPr>
              <w:t xml:space="preserve">第六十四条 违反本法第二十六条、第二十九条规定，拒绝供电或者中断供电的，由电力管理部门责令改正，给予警告；情节严重的，对有关主管人员和直接责任人员给予行政处分。 </w:t>
            </w:r>
          </w:p>
          <w:p>
            <w:pPr>
              <w:widowControl/>
              <w:spacing w:line="300" w:lineRule="exact"/>
              <w:jc w:val="left"/>
              <w:rPr>
                <w:rFonts w:ascii="仿宋" w:hAnsi="仿宋" w:eastAsia="仿宋" w:cs="仿宋"/>
                <w:color w:val="auto"/>
                <w:sz w:val="15"/>
                <w:szCs w:val="15"/>
              </w:rPr>
            </w:pP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06</w:t>
            </w:r>
            <w:r>
              <w:rPr>
                <w:rFonts w:hint="eastAsia"/>
                <w:color w:val="auto"/>
              </w:rPr>
              <w:t>00-140581</w:t>
            </w:r>
          </w:p>
        </w:tc>
        <w:tc>
          <w:tcPr>
            <w:tcW w:w="1113" w:type="dxa"/>
            <w:vAlign w:val="center"/>
          </w:tcPr>
          <w:p>
            <w:pPr>
              <w:widowControl/>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对危及电力设施安全的处罚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hint="eastAsia"/>
                <w:color w:val="auto"/>
                <w:sz w:val="10"/>
                <w:szCs w:val="10"/>
              </w:rPr>
            </w:pPr>
            <w:r>
              <w:rPr>
                <w:rFonts w:hint="eastAsia" w:ascii="宋体" w:hAnsi="宋体" w:eastAsia="宋体" w:cs="宋体"/>
                <w:color w:val="auto"/>
                <w:kern w:val="0"/>
                <w:sz w:val="10"/>
                <w:szCs w:val="10"/>
              </w:rPr>
              <w:t xml:space="preserve">【法律】《电力法》 第五十二条第二款在电力设施周围进行爆破及其他可能危及电力设施安全的作业的，应当按照国务院有关电力设施保护的规定，经批准并采取确保电力设施安全的措施后，方可进行作业。 </w:t>
            </w:r>
          </w:p>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hint="eastAsia"/>
                <w:color w:val="auto"/>
                <w:sz w:val="10"/>
                <w:szCs w:val="10"/>
              </w:rPr>
            </w:pPr>
            <w:r>
              <w:rPr>
                <w:rFonts w:hint="eastAsia" w:ascii="宋体" w:hAnsi="宋体" w:eastAsia="宋体" w:cs="宋体"/>
                <w:color w:val="auto"/>
                <w:kern w:val="0"/>
                <w:sz w:val="10"/>
                <w:szCs w:val="10"/>
              </w:rPr>
              <w:t xml:space="preserve">第五十四条 任何单位和个人需要在依法划定的电力设施保护区内进行可能危及电力设施安全的作业时，应当经 电力管理部门批准并采取安全措施后，方可进行作业。 </w:t>
            </w:r>
          </w:p>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ascii="仿宋" w:hAnsi="仿宋" w:eastAsia="仿宋" w:cs="仿宋"/>
                <w:color w:val="auto"/>
                <w:sz w:val="15"/>
                <w:szCs w:val="15"/>
              </w:rPr>
            </w:pPr>
            <w:r>
              <w:rPr>
                <w:rFonts w:hint="eastAsia" w:ascii="宋体" w:hAnsi="宋体" w:eastAsia="宋体" w:cs="宋体"/>
                <w:color w:val="auto"/>
                <w:kern w:val="0"/>
                <w:sz w:val="10"/>
                <w:szCs w:val="10"/>
              </w:rPr>
              <w:t>【地方性法规】</w:t>
            </w:r>
            <w:r>
              <w:rPr>
                <w:rFonts w:hint="eastAsia" w:ascii="宋体" w:hAnsi="宋体" w:eastAsia="宋体" w:cs="宋体"/>
                <w:color w:val="auto"/>
                <w:kern w:val="0"/>
                <w:sz w:val="10"/>
                <w:szCs w:val="10"/>
                <w:lang w:eastAsia="zh-CN"/>
              </w:rPr>
              <w:t>《</w:t>
            </w:r>
            <w:r>
              <w:rPr>
                <w:rFonts w:hint="eastAsia" w:ascii="宋体" w:hAnsi="宋体" w:eastAsia="宋体" w:cs="宋体"/>
                <w:color w:val="auto"/>
                <w:kern w:val="0"/>
                <w:sz w:val="10"/>
                <w:szCs w:val="10"/>
              </w:rPr>
              <w:t>山西省电力设施保护条例</w:t>
            </w:r>
            <w:r>
              <w:rPr>
                <w:rFonts w:hint="eastAsia" w:ascii="宋体" w:hAnsi="宋体" w:eastAsia="宋体" w:cs="宋体"/>
                <w:color w:val="auto"/>
                <w:kern w:val="0"/>
                <w:sz w:val="10"/>
                <w:szCs w:val="10"/>
                <w:lang w:eastAsia="zh-CN"/>
              </w:rPr>
              <w:t>》（山西省人民代表大会常务委员会公告(第十二号）</w:t>
            </w:r>
            <w:r>
              <w:rPr>
                <w:rFonts w:hint="eastAsia" w:ascii="宋体" w:hAnsi="宋体" w:eastAsia="宋体" w:cs="宋体"/>
                <w:color w:val="000000" w:themeColor="text1"/>
                <w:kern w:val="0"/>
                <w:sz w:val="10"/>
                <w:szCs w:val="10"/>
                <w:lang w:eastAsia="zh-CN"/>
                <w14:textFill>
                  <w14:solidFill>
                    <w14:schemeClr w14:val="tx1"/>
                  </w14:solidFill>
                </w14:textFill>
              </w:rPr>
              <w:t>）</w:t>
            </w:r>
            <w:r>
              <w:rPr>
                <w:rFonts w:hint="eastAsia" w:ascii="宋体" w:hAnsi="宋体" w:eastAsia="宋体" w:cs="宋体"/>
                <w:color w:val="FF0000"/>
                <w:kern w:val="0"/>
                <w:sz w:val="10"/>
                <w:szCs w:val="10"/>
                <w:lang w:val="en-US" w:eastAsia="zh-CN"/>
              </w:rPr>
              <w:t>第十二条第二款</w:t>
            </w:r>
            <w:r>
              <w:rPr>
                <w:rFonts w:hint="eastAsia" w:ascii="宋体" w:hAnsi="宋体" w:eastAsia="宋体" w:cs="宋体"/>
                <w:color w:val="auto"/>
                <w:kern w:val="0"/>
                <w:sz w:val="10"/>
                <w:szCs w:val="10"/>
              </w:rPr>
              <w:t xml:space="preserve">  任何单位和个人不得擅自移动、损毁电力设施安全标志和电力线路保护区标志。 第二十四条 任何单位和个人不得有下列危害电力线路设施的行为：（一）在杆塔上悬挂广告牌；（二）擅自在杆塔上搭挂通信、广播等缆线；（三）擅自攀爬变压器台架、杆塔或者拉线；（四）擅自移动、破坏、损毁电力线路上的电气设备及电力通信设施；（五）在架空电力线路导线两侧各三百米的区域内升放飞行器、风筝、气球；（六）其他危害电力线路设 施安全的行为。 第二十五条 在架空电力线路保护区，不得有下列 影响电力设施安全的行为：（一）堆放或者焚烧秸 秆、草料、木材、油料、塑料地膜等物品；（二）取土、开挖、采石、打桩、钻探、爆破、垂钓、燃放烟花爆竹； （三）损坏或者擅自封堵检修专用道路、在建电力设施施工道路，截断施工水源或者电源；（四）涂改、移 动、损坏、拔除电力设施建设的测量标桩或者标记； （五）其他影响电力设施安全的行为。 第二十六条 在电力电缆保护区，不得有下列影响电力设施安全的行为：（一）堆放杂物或倾倒垃圾； （二）使用机械掘土、种植林木，兴建建筑物和构筑物；（三）在封闭式电缆通道内布置热力管道、易燃气（液）管道；（四）擅自在电缆通（管）道敷设其他缆线，堵塞电缆管沟、排管通道；（五）其他影响电力设施安全的行为。 第三十条 违反本条例第十二条第二款规定的，由电力管理部门责令改正，拒不改正的，处二百元以上五百元以下罚款。 第三十三条 违反本条例第二十四条、第二十五条、 第二十六规定，有危害电力设施行为之一的，由电力管理部门责令改正；拒不改正的，对单位处五千元以上一万元以下罚款，或者对个人处二百元以上一千元以下罚款；造成损害的，依法承担民事责任。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07</w:t>
            </w:r>
            <w:r>
              <w:rPr>
                <w:rFonts w:hint="eastAsia"/>
                <w:color w:val="auto"/>
              </w:rPr>
              <w:t>00-140581</w:t>
            </w:r>
          </w:p>
        </w:tc>
        <w:tc>
          <w:tcPr>
            <w:tcW w:w="1113" w:type="dxa"/>
            <w:vAlign w:val="center"/>
          </w:tcPr>
          <w:p>
            <w:pPr>
              <w:widowControl/>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对电力企业减少农业和农村用电指标的处罚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hint="eastAsia"/>
                <w:color w:val="auto"/>
              </w:rPr>
            </w:pPr>
            <w:r>
              <w:rPr>
                <w:rFonts w:hint="eastAsia" w:ascii="宋体" w:hAnsi="宋体" w:eastAsia="宋体" w:cs="宋体"/>
                <w:color w:val="auto"/>
                <w:kern w:val="0"/>
                <w:sz w:val="14"/>
                <w:szCs w:val="14"/>
              </w:rPr>
              <w:t xml:space="preserve">【法律】《电力法》 </w:t>
            </w:r>
          </w:p>
          <w:p>
            <w:pPr>
              <w:widowControl/>
              <w:jc w:val="left"/>
              <w:rPr>
                <w:rFonts w:hint="eastAsia"/>
                <w:color w:val="auto"/>
              </w:rPr>
            </w:pPr>
            <w:r>
              <w:rPr>
                <w:rFonts w:hint="eastAsia" w:ascii="宋体" w:hAnsi="宋体" w:eastAsia="宋体" w:cs="宋体"/>
                <w:color w:val="auto"/>
                <w:kern w:val="0"/>
                <w:sz w:val="14"/>
                <w:szCs w:val="14"/>
              </w:rPr>
              <w:t xml:space="preserve">第四十九条第二款电力企业应当执行前款的用电安排，不得减少农业和农村用电指标。 </w:t>
            </w:r>
          </w:p>
          <w:p>
            <w:pPr>
              <w:widowControl/>
              <w:jc w:val="left"/>
              <w:rPr>
                <w:rFonts w:hint="eastAsia"/>
                <w:color w:val="auto"/>
              </w:rPr>
            </w:pPr>
            <w:r>
              <w:rPr>
                <w:rFonts w:hint="eastAsia" w:ascii="宋体" w:hAnsi="宋体" w:eastAsia="宋体" w:cs="宋体"/>
                <w:color w:val="auto"/>
                <w:kern w:val="0"/>
                <w:sz w:val="14"/>
                <w:szCs w:val="14"/>
              </w:rPr>
              <w:t xml:space="preserve">第六十七条 违反本法第四十九条第二款规定，减少农业和农村用电指标的，由电力管理部门责令改正；情节严重的，对有关主管人员和直接责任人员给予行政处分；造成损失的，责令赔偿损失。 </w:t>
            </w:r>
          </w:p>
          <w:p>
            <w:pPr>
              <w:widowControl/>
              <w:spacing w:line="300" w:lineRule="exact"/>
              <w:jc w:val="left"/>
              <w:rPr>
                <w:rFonts w:ascii="仿宋" w:hAnsi="仿宋" w:eastAsia="仿宋" w:cs="仿宋"/>
                <w:color w:val="auto"/>
                <w:sz w:val="15"/>
                <w:szCs w:val="15"/>
              </w:rPr>
            </w:pP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color w:val="auto"/>
                <w:kern w:val="2"/>
                <w:sz w:val="18"/>
                <w:szCs w:val="18"/>
                <w:lang w:val="en-US" w:eastAsia="zh-CN" w:bidi="ar-SA"/>
              </w:rPr>
            </w:pPr>
            <w:r>
              <w:rPr>
                <w:rFonts w:hint="eastAsia"/>
                <w:color w:val="auto"/>
              </w:rPr>
              <w:t>2300-B-0</w:t>
            </w:r>
            <w:r>
              <w:rPr>
                <w:rFonts w:hint="eastAsia"/>
                <w:color w:val="auto"/>
                <w:lang w:val="en-US" w:eastAsia="zh-CN"/>
              </w:rPr>
              <w:t>08</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对投资建设固定资产投资项目企业及相关责任人员的行政处罚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ascii="宋体" w:hAnsi="宋体" w:eastAsia="宋体" w:cs="宋体"/>
                <w:color w:val="auto"/>
                <w:kern w:val="0"/>
                <w:sz w:val="14"/>
                <w:szCs w:val="14"/>
                <w:lang w:val="en-US" w:eastAsia="zh-CN" w:bidi="ar-SA"/>
              </w:rPr>
            </w:pPr>
            <w:r>
              <w:rPr>
                <w:rFonts w:hint="eastAsia" w:ascii="宋体" w:hAnsi="宋体" w:eastAsia="宋体" w:cs="宋体"/>
                <w:color w:val="auto"/>
                <w:kern w:val="0"/>
                <w:sz w:val="8"/>
                <w:szCs w:val="8"/>
              </w:rPr>
              <w:t>【法规】《企业投资项目核准和备案管理条例》（国务院令第673号）第十八条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以欺骗、贿赂等不正当手段取得项目核准文件，尚未开工建设的，由核准机关撤销核准文件，处项目总投资1‰以上5‰以下的罚款；已经开工建设的，依照前款规定予以处罚；构成犯罪的，依法追究刑事责任。第十九条 实行备案管理的项目，企业未依照本条例规定将项目信息或者已备案项目的信息变更情况告知备案机关，或者向备案机关提供虚假信息的，由备案机关责令限期改正；逾期不改正的，处2万元以上5万元以下的罚款。第二十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2.【规章】《企业投资项目核准和备案管理办法》（国家发展改革委令2017年第2号）第五十六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超出或者补办相关手续。以欺骗、贿赂等不正当手段取得项目核准文件，尚未开工建设的，由核准机关撤销核准文件，处项目总投资1‰以上5‰以下的罚款；已经开工建设的，依照前款规定予以处罚；构成犯罪的，依法追究刑事责任。第五十七条 实行备案管理的项目，企业未依照本条例规定将项目信息或者已备案项目的信息变更情况告知备案机关，或者向备案机关提供虚假信息的，由备案机关责令限期改正；逾期不改正的，处2万元以上5万元以下的罚款。第五十八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color w:val="auto"/>
                <w:kern w:val="2"/>
                <w:sz w:val="18"/>
                <w:szCs w:val="18"/>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18"/>
                <w:szCs w:val="18"/>
                <w:lang w:val="en-US" w:eastAsia="zh-CN" w:bidi="ar-SA"/>
              </w:rPr>
            </w:pPr>
          </w:p>
        </w:tc>
        <w:tc>
          <w:tcPr>
            <w:tcW w:w="873" w:type="dxa"/>
            <w:vAlign w:val="center"/>
          </w:tcPr>
          <w:p>
            <w:pPr>
              <w:spacing w:beforeLines="50" w:afterLines="50"/>
              <w:jc w:val="center"/>
              <w:rPr>
                <w:rFonts w:ascii="仿宋" w:hAnsi="仿宋" w:eastAsia="仿宋" w:cs="仿宋"/>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09</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对建设单位开工建设的固定资产投资项目未经节能评估和审查或者经审查不符合强制性节能标准的处罚</w:t>
            </w:r>
          </w:p>
          <w:p>
            <w:pPr>
              <w:spacing w:beforeLines="50" w:afterLines="50"/>
              <w:rPr>
                <w:rFonts w:ascii="仿宋_GB2312" w:hAnsi="仿宋_GB2312" w:eastAsia="仿宋_GB2312" w:cs="仿宋_GB2312"/>
                <w:color w:val="auto"/>
                <w:sz w:val="18"/>
                <w:szCs w:val="18"/>
              </w:rPr>
            </w:pP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cs="仿宋"/>
                <w:color w:val="auto"/>
                <w:sz w:val="15"/>
                <w:szCs w:val="15"/>
              </w:rPr>
            </w:pPr>
            <w:r>
              <w:rPr>
                <w:rFonts w:hint="eastAsia" w:ascii="仿宋" w:hAnsi="仿宋" w:eastAsia="仿宋" w:cs="仿宋"/>
                <w:color w:val="auto"/>
                <w:sz w:val="15"/>
                <w:szCs w:val="15"/>
              </w:rPr>
              <w:t>【法律】《节约能源法》第六十八条 建设单位开工建设不符合强制性节能标准的项目或将该项目投入生产使用的，由管理节能工作的部门责令停止建设或者停止生产、使用，限期改造；不能改造或者逾期不改造的生产性项目，由管理节能工作的部门报请本级人民政府按照国务院规定的权限责令关闭。 【地方性法规】《山西省节约能源条例》</w:t>
            </w:r>
            <w:r>
              <w:rPr>
                <w:rFonts w:hint="eastAsia" w:ascii="仿宋" w:hAnsi="仿宋" w:eastAsia="仿宋" w:cs="仿宋"/>
                <w:color w:val="FF0000"/>
                <w:sz w:val="15"/>
                <w:szCs w:val="15"/>
              </w:rPr>
              <w:t>第四十</w:t>
            </w:r>
            <w:r>
              <w:rPr>
                <w:rFonts w:hint="eastAsia" w:ascii="仿宋" w:hAnsi="仿宋" w:eastAsia="仿宋" w:cs="仿宋"/>
                <w:color w:val="FF0000"/>
                <w:sz w:val="15"/>
                <w:szCs w:val="15"/>
                <w:lang w:val="en-US" w:eastAsia="zh-CN"/>
              </w:rPr>
              <w:t>六</w:t>
            </w:r>
            <w:r>
              <w:rPr>
                <w:rFonts w:hint="eastAsia" w:ascii="仿宋" w:hAnsi="仿宋" w:eastAsia="仿宋" w:cs="仿宋"/>
                <w:color w:val="FF0000"/>
                <w:sz w:val="15"/>
                <w:szCs w:val="15"/>
              </w:rPr>
              <w:t xml:space="preserve">条 </w:t>
            </w:r>
            <w:r>
              <w:rPr>
                <w:rFonts w:hint="eastAsia" w:ascii="仿宋" w:hAnsi="仿宋" w:eastAsia="仿宋" w:cs="仿宋"/>
                <w:color w:val="auto"/>
                <w:sz w:val="15"/>
                <w:szCs w:val="15"/>
              </w:rPr>
              <w:t>违反本条例规定，固定资产投资项目建设单位开工建设不符合强制性节能标准的项目或者将该项目投入生产、使用的，由负责节能审查的县级以上人民政府有关部门责令停止建设或者停止生产、使用，限期改造；不能改造或者逾期不改造的生产性项目，由负责节能审查的县级以上人民政府有关部门报请本级人民政府按照规定的权限责令关闭。”</w:t>
            </w:r>
          </w:p>
        </w:tc>
        <w:tc>
          <w:tcPr>
            <w:tcW w:w="1767" w:type="dxa"/>
            <w:vAlign w:val="center"/>
          </w:tcPr>
          <w:p>
            <w:pPr>
              <w:widowControl/>
              <w:spacing w:line="220" w:lineRule="exact"/>
              <w:jc w:val="left"/>
              <w:rPr>
                <w:rFonts w:hint="eastAsia"/>
                <w:color w:val="auto"/>
              </w:rPr>
            </w:pPr>
            <w:r>
              <w:rPr>
                <w:rFonts w:ascii="黑体" w:hAnsi="宋体" w:eastAsia="黑体" w:cs="黑体"/>
                <w:color w:val="auto"/>
                <w:kern w:val="0"/>
                <w:sz w:val="16"/>
                <w:szCs w:val="16"/>
              </w:rPr>
              <w:t>1.立案责任：</w:t>
            </w:r>
            <w:r>
              <w:rPr>
                <w:rFonts w:hint="eastAsia" w:ascii="宋体" w:hAnsi="宋体" w:eastAsia="宋体" w:cs="宋体"/>
                <w:color w:val="auto"/>
                <w:kern w:val="0"/>
                <w:sz w:val="16"/>
                <w:szCs w:val="16"/>
              </w:rPr>
              <w:t xml:space="preserve">对需要调查的项目，依法进行立案。 </w:t>
            </w:r>
          </w:p>
          <w:p>
            <w:pPr>
              <w:widowControl/>
              <w:spacing w:line="220" w:lineRule="exact"/>
              <w:jc w:val="left"/>
              <w:rPr>
                <w:rFonts w:hint="eastAsia"/>
                <w:color w:val="auto"/>
              </w:rPr>
            </w:pPr>
            <w:r>
              <w:rPr>
                <w:rFonts w:hint="eastAsia" w:ascii="黑体" w:hAnsi="宋体" w:eastAsia="黑体" w:cs="黑体"/>
                <w:color w:val="auto"/>
                <w:kern w:val="0"/>
                <w:sz w:val="16"/>
                <w:szCs w:val="16"/>
              </w:rPr>
              <w:t>2.调查责任：</w:t>
            </w:r>
            <w:r>
              <w:rPr>
                <w:rFonts w:hint="eastAsia" w:ascii="宋体" w:hAnsi="宋体" w:eastAsia="宋体" w:cs="宋体"/>
                <w:color w:val="auto"/>
                <w:kern w:val="0"/>
                <w:sz w:val="16"/>
                <w:szCs w:val="16"/>
              </w:rPr>
              <w:t xml:space="preserve">对违反相关项目管理规定的行为进行检查或调查。 </w:t>
            </w:r>
          </w:p>
          <w:p>
            <w:pPr>
              <w:widowControl/>
              <w:spacing w:line="220" w:lineRule="exact"/>
              <w:jc w:val="left"/>
              <w:rPr>
                <w:rFonts w:hint="eastAsia"/>
                <w:color w:val="auto"/>
              </w:rPr>
            </w:pPr>
            <w:r>
              <w:rPr>
                <w:rFonts w:hint="eastAsia" w:ascii="黑体" w:hAnsi="宋体" w:eastAsia="黑体" w:cs="黑体"/>
                <w:color w:val="auto"/>
                <w:kern w:val="0"/>
                <w:sz w:val="16"/>
                <w:szCs w:val="16"/>
              </w:rPr>
              <w:t>3.审查责任：</w:t>
            </w:r>
            <w:r>
              <w:rPr>
                <w:rFonts w:hint="eastAsia" w:ascii="宋体" w:hAnsi="宋体" w:eastAsia="宋体" w:cs="宋体"/>
                <w:color w:val="auto"/>
                <w:kern w:val="0"/>
                <w:sz w:val="16"/>
                <w:szCs w:val="16"/>
              </w:rPr>
              <w:t xml:space="preserve">对调查结果进行审查。 </w:t>
            </w:r>
          </w:p>
          <w:p>
            <w:pPr>
              <w:widowControl/>
              <w:spacing w:line="220" w:lineRule="exact"/>
              <w:jc w:val="left"/>
              <w:rPr>
                <w:rFonts w:hint="eastAsia"/>
                <w:color w:val="auto"/>
              </w:rPr>
            </w:pPr>
            <w:r>
              <w:rPr>
                <w:rFonts w:hint="eastAsia" w:ascii="黑体" w:hAnsi="宋体" w:eastAsia="黑体" w:cs="黑体"/>
                <w:color w:val="auto"/>
                <w:kern w:val="0"/>
                <w:sz w:val="16"/>
                <w:szCs w:val="16"/>
              </w:rPr>
              <w:t>4.告知责任：</w:t>
            </w:r>
            <w:r>
              <w:rPr>
                <w:rFonts w:hint="eastAsia" w:ascii="宋体" w:hAnsi="宋体" w:eastAsia="宋体" w:cs="宋体"/>
                <w:color w:val="auto"/>
                <w:kern w:val="0"/>
                <w:sz w:val="16"/>
                <w:szCs w:val="16"/>
              </w:rPr>
              <w:t xml:space="preserve">向当事人告知给予行政处罚的事实、理由和依据，并告知当事人依法 </w:t>
            </w:r>
          </w:p>
          <w:p>
            <w:pPr>
              <w:widowControl/>
              <w:spacing w:line="220" w:lineRule="exact"/>
              <w:jc w:val="left"/>
              <w:rPr>
                <w:rFonts w:hint="eastAsia"/>
                <w:color w:val="auto"/>
              </w:rPr>
            </w:pPr>
            <w:r>
              <w:rPr>
                <w:rFonts w:hint="eastAsia" w:ascii="宋体" w:hAnsi="宋体" w:eastAsia="宋体" w:cs="宋体"/>
                <w:color w:val="auto"/>
                <w:kern w:val="0"/>
                <w:sz w:val="16"/>
                <w:szCs w:val="16"/>
              </w:rPr>
              <w:t xml:space="preserve">享有的陈述、申辩、听证等权利。 </w:t>
            </w:r>
          </w:p>
          <w:p>
            <w:pPr>
              <w:widowControl/>
              <w:spacing w:line="220" w:lineRule="exact"/>
              <w:jc w:val="left"/>
              <w:rPr>
                <w:rFonts w:hint="eastAsia"/>
                <w:color w:val="auto"/>
              </w:rPr>
            </w:pPr>
            <w:r>
              <w:rPr>
                <w:rFonts w:hint="eastAsia" w:ascii="黑体" w:hAnsi="宋体" w:eastAsia="黑体" w:cs="黑体"/>
                <w:color w:val="auto"/>
                <w:kern w:val="0"/>
                <w:sz w:val="16"/>
                <w:szCs w:val="16"/>
              </w:rPr>
              <w:t>5.决定责任：</w:t>
            </w:r>
            <w:r>
              <w:rPr>
                <w:rFonts w:hint="eastAsia" w:ascii="宋体" w:hAnsi="宋体" w:eastAsia="宋体" w:cs="宋体"/>
                <w:color w:val="auto"/>
                <w:kern w:val="0"/>
                <w:sz w:val="16"/>
                <w:szCs w:val="16"/>
              </w:rPr>
              <w:t xml:space="preserve">作出行政处罚决定。 </w:t>
            </w:r>
          </w:p>
          <w:p>
            <w:pPr>
              <w:widowControl/>
              <w:spacing w:line="220" w:lineRule="exact"/>
              <w:jc w:val="left"/>
              <w:rPr>
                <w:rFonts w:hint="eastAsia"/>
                <w:color w:val="auto"/>
              </w:rPr>
            </w:pPr>
            <w:r>
              <w:rPr>
                <w:rFonts w:hint="eastAsia" w:ascii="黑体" w:hAnsi="宋体" w:eastAsia="黑体" w:cs="黑体"/>
                <w:color w:val="auto"/>
                <w:kern w:val="0"/>
                <w:sz w:val="16"/>
                <w:szCs w:val="16"/>
              </w:rPr>
              <w:t>6.送达责任：</w:t>
            </w:r>
            <w:r>
              <w:rPr>
                <w:rFonts w:hint="eastAsia" w:ascii="宋体" w:hAnsi="宋体" w:eastAsia="宋体" w:cs="宋体"/>
                <w:color w:val="auto"/>
                <w:kern w:val="0"/>
                <w:sz w:val="16"/>
                <w:szCs w:val="16"/>
              </w:rPr>
              <w:t xml:space="preserve">将行政处罚决定书送达当事人。 </w:t>
            </w:r>
          </w:p>
          <w:p>
            <w:pPr>
              <w:widowControl/>
              <w:spacing w:line="220" w:lineRule="exact"/>
              <w:jc w:val="left"/>
              <w:rPr>
                <w:rFonts w:hint="eastAsia"/>
                <w:color w:val="auto"/>
              </w:rPr>
            </w:pPr>
            <w:r>
              <w:rPr>
                <w:rFonts w:hint="eastAsia" w:ascii="黑体" w:hAnsi="宋体" w:eastAsia="黑体" w:cs="黑体"/>
                <w:color w:val="auto"/>
                <w:kern w:val="0"/>
                <w:sz w:val="16"/>
                <w:szCs w:val="16"/>
              </w:rPr>
              <w:t>7.执行责任：</w:t>
            </w:r>
            <w:r>
              <w:rPr>
                <w:rFonts w:hint="eastAsia" w:ascii="宋体" w:hAnsi="宋体" w:eastAsia="宋体" w:cs="宋体"/>
                <w:color w:val="auto"/>
                <w:kern w:val="0"/>
                <w:sz w:val="16"/>
                <w:szCs w:val="16"/>
              </w:rPr>
              <w:t xml:space="preserve">建立实施监督检查的运行机制和管理制度，开展定期和不定期检查 </w:t>
            </w:r>
          </w:p>
          <w:p>
            <w:pPr>
              <w:widowControl/>
              <w:spacing w:line="220" w:lineRule="exact"/>
              <w:jc w:val="left"/>
              <w:rPr>
                <w:rFonts w:hint="eastAsia"/>
                <w:color w:val="auto"/>
              </w:rPr>
            </w:pPr>
            <w:r>
              <w:rPr>
                <w:rFonts w:hint="eastAsia" w:ascii="宋体" w:hAnsi="宋体" w:eastAsia="宋体" w:cs="宋体"/>
                <w:color w:val="auto"/>
                <w:kern w:val="0"/>
                <w:sz w:val="16"/>
                <w:szCs w:val="16"/>
              </w:rPr>
              <w:t xml:space="preserve">执行情况。 </w:t>
            </w:r>
          </w:p>
          <w:p>
            <w:pPr>
              <w:widowControl/>
              <w:spacing w:line="220" w:lineRule="exact"/>
              <w:jc w:val="left"/>
              <w:rPr>
                <w:rFonts w:ascii="仿宋" w:hAnsi="仿宋" w:eastAsia="仿宋" w:cs="仿宋"/>
                <w:color w:val="auto"/>
                <w:sz w:val="18"/>
                <w:szCs w:val="18"/>
              </w:rPr>
            </w:pPr>
            <w:r>
              <w:rPr>
                <w:rFonts w:hint="eastAsia" w:ascii="黑体" w:hAnsi="宋体" w:eastAsia="黑体" w:cs="黑体"/>
                <w:color w:val="auto"/>
                <w:kern w:val="0"/>
                <w:sz w:val="16"/>
                <w:szCs w:val="16"/>
              </w:rPr>
              <w:t>8.其他：</w:t>
            </w:r>
            <w:r>
              <w:rPr>
                <w:rFonts w:hint="eastAsia" w:ascii="宋体" w:hAnsi="宋体" w:eastAsia="宋体" w:cs="宋体"/>
                <w:color w:val="auto"/>
                <w:kern w:val="0"/>
                <w:sz w:val="16"/>
                <w:szCs w:val="16"/>
              </w:rPr>
              <w:t>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10</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对重点用能单位无正当理由拒不落实整改要求或者整改没有达到要求行为的行政处罚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0"/>
                <w:sz w:val="14"/>
                <w:szCs w:val="14"/>
              </w:rPr>
            </w:pPr>
            <w:r>
              <w:rPr>
                <w:rFonts w:hint="eastAsia" w:ascii="宋体" w:hAnsi="宋体" w:eastAsia="宋体" w:cs="宋体"/>
                <w:color w:val="auto"/>
                <w:kern w:val="0"/>
                <w:sz w:val="14"/>
                <w:szCs w:val="14"/>
              </w:rPr>
              <w:t>第八十三条  重点用能单位无正当理由拒不落实本法第五十四条规定的整改要求或者整改没有达到要求的，由管理节能工作的部门处十万元以上三十万元以下罚款。"</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hAnsi="仿宋" w:eastAsia="仿宋" w:cs="仿宋"/>
                <w:color w:val="auto"/>
                <w:sz w:val="15"/>
                <w:szCs w:val="15"/>
              </w:rPr>
            </w:pP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第二十六条 对节能管理制度不健全、节能措施不落实、能源利用效率低的重点用能单位，管理节能工作的部门应当开展现场调查，组织实施用能设备能源效率检测，责令实施能源审计，并提出书面整改要求，限期整改。重点用能单位无正当理由拒不落实整改要求或者整改没有达到要求的，由管理节能工作的部门处十万元以上三十万元以下罚款。对节能考核结果为未完成等级的重点用能单位，拒不落实管理节能工作的部门要求实施能源审计、报送能源审计报告、提出整改措施并限期整改的，由管理节能工作的部门处一万元以上三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2300-B-01</w:t>
            </w:r>
            <w:r>
              <w:rPr>
                <w:rFonts w:hint="eastAsia"/>
                <w:color w:val="auto"/>
                <w:lang w:val="en-US" w:eastAsia="zh-CN"/>
              </w:rPr>
              <w:t>1</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对重点用能单位未按规定设立能源管理岗位、聘任能源管理负责人并报管理节能工作的部门和有关部门备案行为的行政处罚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【法律】《中华人民共和国节约能源法》第五十五条第一款  重点用能单位应当设立能源管理岗位，在具有节能专业知识、实际经验以及中级以上技术职称的人员中聘任能源管理负责人，并报管理节能工作的部门和有关部门备案。</w:t>
            </w:r>
          </w:p>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第八十四条  重点用能单位未按照本法规定设立能源管理岗位，聘任能源管理负责人，并报管理节能工作的部门和有关部门备案的，由管理节能工作的部门责令改正；拒不改正的，处一万元以上三万元以下罚款。"</w:t>
            </w:r>
          </w:p>
          <w:p>
            <w:pPr>
              <w:widowControl/>
              <w:spacing w:line="300" w:lineRule="exact"/>
              <w:jc w:val="left"/>
              <w:rPr>
                <w:rFonts w:ascii="宋体" w:hAnsi="宋体" w:eastAsia="宋体" w:cs="宋体"/>
                <w:color w:val="auto"/>
                <w:kern w:val="0"/>
                <w:sz w:val="11"/>
                <w:szCs w:val="11"/>
              </w:rPr>
            </w:pP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第二十七条 重点用能单位未按照本办法规定设立能源管理岗位，指定相应的能源管理负责人并报管理节能工作的部门和有关部门备案的，由管理节能工作的部门责令改正；拒不改正的，处一万元以上三万元以下罚款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12</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对重点用能单位未按规定报送能源利用状况报告或者报告内容不实行为的行政处罚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w:t>
            </w:r>
          </w:p>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第八十二条  重点用能单位未按照本法规定报送能源利用状况报告或者报告内容不实的，由管理节能工作的部门责令限期改正；逾期不改正，处一万元以上五万元以下罚款。"</w:t>
            </w:r>
          </w:p>
          <w:p>
            <w:pPr>
              <w:widowControl/>
              <w:spacing w:line="300" w:lineRule="exact"/>
              <w:jc w:val="left"/>
              <w:rPr>
                <w:rFonts w:ascii="宋体" w:hAnsi="宋体" w:eastAsia="宋体" w:cs="宋体"/>
                <w:color w:val="auto"/>
                <w:kern w:val="0"/>
                <w:sz w:val="15"/>
                <w:szCs w:val="15"/>
              </w:rPr>
            </w:pP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第三十条 重点用能单位未按照本办法规定报送能源利用状况报告或者报告内容不实的，由管理节能工作的部门责令限期改正；逾期不改正的，处一万元以上五万元以下罚款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13</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对节能服务机构提供虚假信息行为的行政处罚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w:t>
            </w:r>
          </w:p>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第七十六条  从事节能咨询、设计、评估、检测、审计、认证等服务的机构提供虚假信息的，由管理节能工作的部门责令改正，没收违法所得，并处五万元以上十万元以下罚款。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14</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对生产单位超过单位产品能耗限额标准用能行为的行政处罚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300" w:lineRule="exact"/>
              <w:jc w:val="left"/>
              <w:rPr>
                <w:rFonts w:hint="eastAsia"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【法律】《中华人民共和国节约能源法》第十六条第二款  生产过程中耗能高的产品的生产单位，应当执行单位产品能耗限额标准。对超过单位产品能耗限额标准用能的生产单位，由管理节能工作的部门按照国务院规定的权限责令限期治理。第七十二条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第三十二条 重点用能单位超过单位产品能耗限额标准用能，限期治理，逾期不治理或者没有达到治理要求的，由管理节能工作的部门提请执行惩罚性电价。</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15</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对用能单位违法无偿向本单位职工提供能源或者对能源消费实行包费制的处罚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300" w:lineRule="exact"/>
              <w:jc w:val="left"/>
              <w:rPr>
                <w:rFonts w:ascii="宋体" w:hAnsi="宋体" w:eastAsia="宋体" w:cs="宋体"/>
                <w:color w:val="auto"/>
                <w:kern w:val="0"/>
                <w:sz w:val="14"/>
                <w:szCs w:val="14"/>
              </w:rPr>
            </w:pPr>
            <w:r>
              <w:rPr>
                <w:rFonts w:hint="eastAsia" w:ascii="宋体" w:hAnsi="宋体" w:eastAsia="宋体" w:cs="宋体"/>
                <w:color w:val="auto"/>
                <w:kern w:val="0"/>
                <w:sz w:val="14"/>
                <w:szCs w:val="14"/>
              </w:rPr>
              <w:t>【法律】《节约能源法》</w:t>
            </w:r>
          </w:p>
          <w:p>
            <w:pPr>
              <w:widowControl/>
              <w:spacing w:line="300" w:lineRule="exact"/>
              <w:jc w:val="left"/>
              <w:rPr>
                <w:rFonts w:ascii="仿宋" w:hAnsi="仿宋" w:eastAsia="仿宋" w:cs="仿宋"/>
                <w:color w:val="auto"/>
                <w:sz w:val="18"/>
                <w:szCs w:val="18"/>
              </w:rPr>
            </w:pPr>
            <w:r>
              <w:rPr>
                <w:rFonts w:hint="eastAsia" w:ascii="宋体" w:hAnsi="宋体" w:eastAsia="宋体" w:cs="宋体"/>
                <w:color w:val="auto"/>
                <w:kern w:val="0"/>
                <w:sz w:val="14"/>
                <w:szCs w:val="14"/>
              </w:rPr>
              <w:t>第七十七条 违反本法规定，无偿向本单位职工提供能源或者对能源消费实行包费制的，由管理节能工作的部门责令限期改正；逾期不改正的，处五万元以上二十万元以下罚款。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16</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对用能单位使用国家明令淘汰的用能设备、生产工艺行为的行政处罚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14"/>
                <w:szCs w:val="14"/>
              </w:rPr>
            </w:pPr>
            <w:r>
              <w:rPr>
                <w:rFonts w:hint="eastAsia" w:ascii="宋体" w:hAnsi="宋体" w:eastAsia="宋体" w:cs="宋体"/>
                <w:color w:val="auto"/>
                <w:kern w:val="0"/>
                <w:sz w:val="14"/>
                <w:szCs w:val="14"/>
              </w:rPr>
              <w:t>【法律】《中华人民共和国节约能源法》第十六条第一款  国家对落后的耗能过高的用能产品、设备和生产工艺实行淘汰制度。第十七条  禁止使用国家明令淘汰的用能设备、生产工艺。第七十一条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第三十三条 重点用能单位不按期淘汰落后生产工艺、用能设备和产品的，由管理节能工作的部门责令停止使用，没收国家明令淘汰的用能设备，并按照《中华人民共和国循环经济促进法》有关规</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auto"/>
                <w:kern w:val="0"/>
                <w:sz w:val="10"/>
                <w:szCs w:val="10"/>
              </w:rPr>
            </w:pPr>
            <w:r>
              <w:rPr>
                <w:rFonts w:hint="eastAsia" w:ascii="宋体" w:hAnsi="宋体" w:eastAsia="宋体" w:cs="宋体"/>
                <w:color w:val="auto"/>
                <w:kern w:val="0"/>
                <w:sz w:val="14"/>
                <w:szCs w:val="14"/>
              </w:rPr>
              <w:t>定处以罚款；情节严重的，由管理节能工作的部门报请本级人民政府按照国务院规定的权限责令停业整顿或者关闭。</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17</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对重点用能单位不按要求开展能耗在线监测系统建设和能耗在线监测工作的处罚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auto"/>
                <w:kern w:val="0"/>
                <w:sz w:val="14"/>
                <w:szCs w:val="14"/>
              </w:rPr>
            </w:pP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lang w:val="en-US" w:eastAsia="zh-CN"/>
              </w:rPr>
              <w:t>规章</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《重点用能单位节能管理办法》</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中华人民共和国国家经济贸易委员会令 第7号</w:t>
            </w:r>
            <w:r>
              <w:rPr>
                <w:rFonts w:hint="eastAsia" w:ascii="宋体" w:hAnsi="宋体" w:eastAsia="宋体" w:cs="宋体"/>
                <w:color w:val="auto"/>
                <w:kern w:val="0"/>
                <w:sz w:val="14"/>
                <w:szCs w:val="14"/>
                <w:lang w:eastAsia="zh-CN"/>
              </w:rPr>
              <w:t>）</w:t>
            </w:r>
            <w:r>
              <w:rPr>
                <w:rFonts w:hint="eastAsia" w:ascii="宋体" w:hAnsi="宋体" w:eastAsia="宋体" w:cs="宋体"/>
                <w:color w:val="auto"/>
                <w:kern w:val="0"/>
                <w:sz w:val="14"/>
                <w:szCs w:val="14"/>
              </w:rPr>
              <w:t>第三十一条 重点用能单位不按要求开展能耗在线监测系统建设和能耗在线监测工作的，由管理节能工作的部门以书面形式责令限期整改；逾期不整改的或者没有达到整改要求的，由管理节能工作的部门处一万元以上三万元以下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18</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对核准的石油、天然气等管道项目违法建设行为的行政处罚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hint="eastAsia" w:ascii="宋体" w:hAnsi="宋体" w:eastAsia="宋体" w:cs="宋体"/>
                <w:color w:val="FF0000"/>
                <w:kern w:val="0"/>
                <w:sz w:val="15"/>
                <w:szCs w:val="15"/>
                <w:lang w:eastAsia="zh-CN"/>
              </w:rPr>
            </w:pPr>
            <w:r>
              <w:rPr>
                <w:rFonts w:hint="eastAsia" w:ascii="宋体" w:hAnsi="宋体" w:eastAsia="宋体" w:cs="宋体"/>
                <w:color w:val="FF0000"/>
                <w:kern w:val="0"/>
                <w:sz w:val="15"/>
                <w:szCs w:val="15"/>
              </w:rPr>
              <w:t>【规章】《山西省石油天然气管道建设和保护办法》（山西省人民政府令 第242号）第九条 县级以上人民政府主管管道建设和保护工作部门依照法律、法规和有关规定负责管道建设项目的审批或者核准</w:t>
            </w:r>
            <w:r>
              <w:rPr>
                <w:rFonts w:hint="eastAsia" w:ascii="宋体" w:hAnsi="宋体" w:eastAsia="宋体" w:cs="宋体"/>
                <w:color w:val="FF0000"/>
                <w:kern w:val="0"/>
                <w:sz w:val="15"/>
                <w:szCs w:val="15"/>
                <w:lang w:eastAsia="zh-CN"/>
              </w:rPr>
              <w:t>，审批或者核准程序按照国家和省有关企业投资规定执行，但需国家审批或者核准的除外。</w:t>
            </w:r>
          </w:p>
          <w:p>
            <w:pPr>
              <w:widowControl/>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第二十四条 管道企业有下列行为之一的，由县级以上人民政府主管管道建设和保护工作部门责令限期改正；逾期不改的，处二万元以上十万元以下罚款： </w:t>
            </w:r>
          </w:p>
          <w:p>
            <w:pPr>
              <w:widowControl/>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（一）未经审批或者核准，擅自建设管道的； </w:t>
            </w:r>
          </w:p>
          <w:p>
            <w:pPr>
              <w:widowControl/>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（二）擅自改变经审批或者核准设计方案的；</w:t>
            </w:r>
          </w:p>
          <w:p>
            <w:pPr>
              <w:widowControl/>
              <w:jc w:val="left"/>
              <w:rPr>
                <w:rFonts w:ascii="宋体" w:hAnsi="宋体" w:eastAsia="宋体" w:cs="宋体"/>
                <w:color w:val="auto"/>
                <w:kern w:val="0"/>
                <w:sz w:val="14"/>
                <w:szCs w:val="14"/>
              </w:rPr>
            </w:pPr>
            <w:r>
              <w:rPr>
                <w:rFonts w:hint="eastAsia" w:ascii="宋体" w:hAnsi="宋体" w:eastAsia="宋体" w:cs="宋体"/>
                <w:color w:val="auto"/>
                <w:kern w:val="0"/>
                <w:sz w:val="15"/>
                <w:szCs w:val="15"/>
              </w:rPr>
              <w:t>（三）未经审批或者核准，擅自改建或者搬迁的。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kern w:val="2"/>
                <w:sz w:val="21"/>
                <w:szCs w:val="21"/>
                <w:lang w:val="en-US" w:eastAsia="zh-CN" w:bidi="ar-SA"/>
              </w:rPr>
            </w:pPr>
            <w:r>
              <w:rPr>
                <w:rFonts w:hint="eastAsia"/>
                <w:color w:val="auto"/>
              </w:rPr>
              <w:t>2300-B-0</w:t>
            </w:r>
            <w:r>
              <w:rPr>
                <w:rFonts w:hint="eastAsia"/>
                <w:color w:val="auto"/>
                <w:lang w:val="en-US" w:eastAsia="zh-CN"/>
              </w:rPr>
              <w:t>19</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对本省行政区域内石油、天然气等管道保护违法违规的行政处罚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【规章】《山西省石油天然气管道建设和保护办法》（山西省人民政府令 第242号）</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第二十五条 管道企业有下列行为之一的，由县级以上人民政府主管管道建设和保护工作部门责令限期改正；逾期不改正的，处二万元以上十万元以下罚款： </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（一）未建立健全管道安全保护制度的； </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（二）未完善检测、维修、保养措施的； </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（三）未制定本企业管道事故应急预案的； </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（四）未建立应急救援队伍，定期组织演练，储备相应的应急设备和物资的； </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（五）未按照本办法第十九条规定设立警示标志的； </w:t>
            </w:r>
          </w:p>
          <w:p>
            <w:pPr>
              <w:widowControl/>
              <w:spacing w:line="240" w:lineRule="exact"/>
              <w:jc w:val="left"/>
              <w:rPr>
                <w:rFonts w:ascii="宋体" w:hAnsi="宋体" w:eastAsia="宋体" w:cs="宋体"/>
                <w:color w:val="auto"/>
                <w:kern w:val="0"/>
                <w:sz w:val="15"/>
                <w:szCs w:val="15"/>
                <w:lang w:val="en-US" w:eastAsia="zh-CN" w:bidi="ar-SA"/>
              </w:rPr>
            </w:pPr>
            <w:r>
              <w:rPr>
                <w:rFonts w:hint="eastAsia" w:ascii="宋体" w:hAnsi="宋体" w:eastAsia="宋体" w:cs="宋体"/>
                <w:color w:val="auto"/>
                <w:kern w:val="0"/>
                <w:sz w:val="15"/>
                <w:szCs w:val="15"/>
              </w:rPr>
              <w:t>（六）发生管道事故，管道企业未采取有效措施消除或者减轻事故危害的。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kern w:val="2"/>
                <w:sz w:val="21"/>
                <w:szCs w:val="21"/>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21"/>
                <w:szCs w:val="21"/>
                <w:lang w:val="en-US" w:eastAsia="zh-CN" w:bidi="ar-SA"/>
              </w:rPr>
            </w:pPr>
          </w:p>
        </w:tc>
        <w:tc>
          <w:tcPr>
            <w:tcW w:w="873" w:type="dxa"/>
            <w:vAlign w:val="center"/>
          </w:tcPr>
          <w:p>
            <w:pPr>
              <w:spacing w:beforeLines="50" w:afterLines="50"/>
              <w:jc w:val="center"/>
              <w:rPr>
                <w:rFonts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kern w:val="2"/>
                <w:sz w:val="21"/>
                <w:szCs w:val="21"/>
                <w:lang w:val="en-US" w:eastAsia="zh-CN" w:bidi="ar-SA"/>
              </w:rPr>
            </w:pPr>
            <w:r>
              <w:rPr>
                <w:rFonts w:hint="eastAsia"/>
                <w:color w:val="auto"/>
              </w:rPr>
              <w:t>2300-B-0</w:t>
            </w:r>
            <w:r>
              <w:rPr>
                <w:rFonts w:hint="eastAsia"/>
                <w:color w:val="auto"/>
                <w:lang w:val="en-US" w:eastAsia="zh-CN"/>
              </w:rPr>
              <w:t>20</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对第三方建设工程施工企业管道保护违法违规行为的行政处罚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lang w:val="en-US" w:eastAsia="zh-CN" w:bidi="ar-SA"/>
              </w:rPr>
            </w:pPr>
            <w:r>
              <w:rPr>
                <w:rFonts w:hint="eastAsia" w:ascii="宋体" w:hAnsi="宋体" w:eastAsia="宋体" w:cs="宋体"/>
                <w:color w:val="auto"/>
                <w:kern w:val="0"/>
                <w:sz w:val="15"/>
                <w:szCs w:val="15"/>
              </w:rPr>
              <w:t>【规章】《山西省石油天然气管道建设和保护办法》（山西省人民政府令 第242号）第二十六条 “其他建设工程施工企业施工作业损坏管道，未立即通知管道企业，并采取相应保护措施的，由县级以上人民政府主管管道建设和保护工作部门责令停止违法行为；情节较重的，处一万元以上五万元以下的罚款；造成损失的，依法承担赔偿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kern w:val="2"/>
                <w:sz w:val="21"/>
                <w:szCs w:val="21"/>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21"/>
                <w:szCs w:val="21"/>
                <w:lang w:val="en-US" w:eastAsia="zh-CN" w:bidi="ar-SA"/>
              </w:rPr>
            </w:pPr>
          </w:p>
        </w:tc>
        <w:tc>
          <w:tcPr>
            <w:tcW w:w="873" w:type="dxa"/>
            <w:vAlign w:val="center"/>
          </w:tcPr>
          <w:p>
            <w:pPr>
              <w:spacing w:beforeLines="50" w:afterLines="50"/>
              <w:jc w:val="center"/>
              <w:rPr>
                <w:rFonts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21</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对开采煤炭资源未达到国务院煤炭管理部门规定的煤炭资源回采率的处罚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spacing w:beforeLines="50" w:afterLines="50"/>
              <w:rPr>
                <w:rFonts w:hint="eastAsia" w:ascii="仿宋" w:hAnsi="仿宋" w:eastAsia="仿宋" w:cs="仿宋"/>
                <w:color w:val="FF0000"/>
                <w:sz w:val="15"/>
                <w:szCs w:val="15"/>
              </w:rPr>
            </w:pPr>
            <w:r>
              <w:rPr>
                <w:rFonts w:hint="eastAsia" w:ascii="仿宋" w:hAnsi="仿宋" w:eastAsia="仿宋" w:cs="仿宋"/>
                <w:color w:val="FF0000"/>
                <w:sz w:val="15"/>
                <w:szCs w:val="15"/>
              </w:rPr>
              <w:t>【法律】《煤炭法》 第二十</w:t>
            </w:r>
            <w:r>
              <w:rPr>
                <w:rFonts w:hint="eastAsia" w:ascii="仿宋" w:hAnsi="仿宋" w:eastAsia="仿宋" w:cs="仿宋"/>
                <w:color w:val="FF0000"/>
                <w:sz w:val="15"/>
                <w:szCs w:val="15"/>
                <w:lang w:val="en-US" w:eastAsia="zh-CN"/>
              </w:rPr>
              <w:t>二</w:t>
            </w:r>
            <w:r>
              <w:rPr>
                <w:rFonts w:hint="eastAsia" w:ascii="仿宋" w:hAnsi="仿宋" w:eastAsia="仿宋" w:cs="仿宋"/>
                <w:color w:val="FF0000"/>
                <w:sz w:val="15"/>
                <w:szCs w:val="15"/>
              </w:rPr>
              <w:t xml:space="preserve">条 </w:t>
            </w:r>
            <w:r>
              <w:rPr>
                <w:rFonts w:hint="eastAsia" w:ascii="仿宋" w:hAnsi="仿宋" w:eastAsia="仿宋" w:cs="仿宋"/>
                <w:color w:val="FF0000"/>
                <w:sz w:val="15"/>
                <w:szCs w:val="15"/>
                <w:lang w:val="en-US" w:eastAsia="zh-CN"/>
              </w:rPr>
              <w:t>开采煤炭资源必须符合煤矿开采规程，遵守合理的开采顺序，达到规定的煤炭资源回采率。</w:t>
            </w:r>
          </w:p>
          <w:p>
            <w:pPr>
              <w:spacing w:beforeLines="50" w:afterLines="50"/>
              <w:rPr>
                <w:rFonts w:hint="eastAsia" w:ascii="仿宋" w:hAnsi="仿宋" w:eastAsia="仿宋" w:cs="仿宋"/>
                <w:color w:val="FF0000"/>
                <w:sz w:val="15"/>
                <w:szCs w:val="15"/>
              </w:rPr>
            </w:pPr>
            <w:r>
              <w:rPr>
                <w:rFonts w:hint="eastAsia" w:ascii="仿宋" w:hAnsi="仿宋" w:eastAsia="仿宋" w:cs="仿宋"/>
                <w:color w:val="FF0000"/>
                <w:sz w:val="15"/>
                <w:szCs w:val="15"/>
                <w:lang w:val="en-US" w:eastAsia="zh-CN"/>
              </w:rPr>
              <w:t>煤炭资源回采率由国务院煤炭管理部门根据不同的资源和开采条件确定。</w:t>
            </w:r>
          </w:p>
          <w:p>
            <w:pPr>
              <w:spacing w:beforeLines="50" w:afterLines="50"/>
              <w:rPr>
                <w:rFonts w:hint="eastAsia" w:ascii="仿宋" w:hAnsi="仿宋" w:eastAsia="仿宋" w:cs="仿宋"/>
                <w:color w:val="FF0000"/>
                <w:sz w:val="15"/>
                <w:szCs w:val="15"/>
              </w:rPr>
            </w:pPr>
            <w:r>
              <w:rPr>
                <w:rFonts w:hint="eastAsia" w:ascii="仿宋" w:hAnsi="仿宋" w:eastAsia="仿宋" w:cs="仿宋"/>
                <w:color w:val="FF0000"/>
                <w:sz w:val="15"/>
                <w:szCs w:val="15"/>
                <w:lang w:val="en-US" w:eastAsia="zh-CN"/>
              </w:rPr>
              <w:t>国家鼓励煤矿企业进行复采或者开采边角残煤和极薄煤。</w:t>
            </w:r>
          </w:p>
          <w:p>
            <w:pPr>
              <w:spacing w:beforeLines="50" w:afterLines="50"/>
              <w:rPr>
                <w:rFonts w:ascii="宋体" w:hAnsi="宋体" w:eastAsia="宋体" w:cs="宋体"/>
                <w:color w:val="auto"/>
                <w:kern w:val="0"/>
                <w:sz w:val="14"/>
                <w:szCs w:val="14"/>
              </w:rPr>
            </w:pPr>
            <w:r>
              <w:rPr>
                <w:rFonts w:hint="eastAsia" w:ascii="仿宋" w:hAnsi="仿宋" w:eastAsia="仿宋" w:cs="仿宋"/>
                <w:color w:val="FF0000"/>
                <w:sz w:val="15"/>
                <w:szCs w:val="15"/>
              </w:rPr>
              <w:t xml:space="preserve"> 第五十</w:t>
            </w:r>
            <w:r>
              <w:rPr>
                <w:rFonts w:hint="eastAsia" w:ascii="仿宋" w:hAnsi="仿宋" w:eastAsia="仿宋" w:cs="仿宋"/>
                <w:color w:val="FF0000"/>
                <w:sz w:val="15"/>
                <w:szCs w:val="15"/>
                <w:lang w:val="en-US" w:eastAsia="zh-CN"/>
              </w:rPr>
              <w:t>七</w:t>
            </w:r>
            <w:r>
              <w:rPr>
                <w:rFonts w:hint="eastAsia" w:ascii="仿宋" w:hAnsi="仿宋" w:eastAsia="仿宋" w:cs="仿宋"/>
                <w:color w:val="FF0000"/>
                <w:sz w:val="15"/>
                <w:szCs w:val="15"/>
              </w:rPr>
              <w:t>条 违反本法第二十二条的规定，开采煤炭资源未达到国务院煤炭管理部门规定的煤炭资源回采率的，由煤炭管理部门责令限期改正；逾期仍达不到规定的回采率的，责令停止生产。</w:t>
            </w:r>
          </w:p>
        </w:tc>
        <w:tc>
          <w:tcPr>
            <w:tcW w:w="1767"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color w:val="auto"/>
              </w:rPr>
            </w:pPr>
            <w:r>
              <w:rPr>
                <w:rFonts w:hint="eastAsia"/>
                <w:color w:val="auto"/>
              </w:rPr>
              <w:t>2300-B-0</w:t>
            </w:r>
            <w:r>
              <w:rPr>
                <w:rFonts w:hint="eastAsia"/>
                <w:color w:val="auto"/>
                <w:lang w:val="en-US" w:eastAsia="zh-CN"/>
              </w:rPr>
              <w:t>22</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对煤矿企业违反开采顺序丢弃可采煤炭留设煤柱不符合规定未提交回采率报告的处罚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【规章】《生产煤矿回采率管理暂行规定》（2012年国家发展和改革委员会令第17号）</w:t>
            </w:r>
          </w:p>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 xml:space="preserve">    第二十九条 煤矿企业有下列情况之一的，由煤炭行业管理部门责令限期改正；逾期不改正的，处三万元罚款；构成犯罪的，依法追究刑事责任：</w:t>
            </w:r>
          </w:p>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 xml:space="preserve">    （一）对可采煤层丢弃不采的；</w:t>
            </w:r>
          </w:p>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 xml:space="preserve">    （二）违反开采顺序的；</w:t>
            </w:r>
          </w:p>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 xml:space="preserve">    （三）一次采全高开采丢顶煤、底煤或者用煤皮作假顶的；</w:t>
            </w:r>
          </w:p>
          <w:p>
            <w:pPr>
              <w:spacing w:beforeLines="50" w:afterLines="50"/>
              <w:rPr>
                <w:rFonts w:ascii="仿宋" w:hAnsi="仿宋" w:eastAsia="仿宋" w:cs="仿宋"/>
                <w:color w:val="auto"/>
                <w:sz w:val="15"/>
                <w:szCs w:val="15"/>
              </w:rPr>
            </w:pPr>
            <w:r>
              <w:rPr>
                <w:rFonts w:hint="eastAsia" w:ascii="仿宋" w:hAnsi="仿宋" w:eastAsia="仿宋" w:cs="仿宋"/>
                <w:color w:val="auto"/>
                <w:sz w:val="15"/>
                <w:szCs w:val="15"/>
              </w:rPr>
              <w:t xml:space="preserve">    （四）留设保护煤柱不符合有关规定的；</w:t>
            </w:r>
          </w:p>
          <w:p>
            <w:pPr>
              <w:spacing w:beforeLines="50" w:afterLines="50"/>
              <w:rPr>
                <w:rFonts w:ascii="宋体" w:hAnsi="宋体" w:eastAsia="宋体" w:cs="宋体"/>
                <w:color w:val="auto"/>
                <w:kern w:val="0"/>
                <w:sz w:val="14"/>
                <w:szCs w:val="14"/>
              </w:rPr>
            </w:pPr>
            <w:r>
              <w:rPr>
                <w:rFonts w:hint="eastAsia" w:ascii="仿宋" w:hAnsi="仿宋" w:eastAsia="仿宋" w:cs="仿宋"/>
                <w:color w:val="auto"/>
                <w:sz w:val="15"/>
                <w:szCs w:val="15"/>
              </w:rPr>
              <w:t xml:space="preserve">    （五）未按规定提交采区回率报告的。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color w:val="auto"/>
              </w:rPr>
              <w:t>2300-B-0</w:t>
            </w:r>
            <w:r>
              <w:rPr>
                <w:rFonts w:hint="eastAsia"/>
                <w:color w:val="auto"/>
                <w:lang w:val="en-US" w:eastAsia="zh-CN"/>
              </w:rPr>
              <w:t>23</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对煤矿企业和煤炭经营企业在煤炭产品中掺杂、掺假，以次充好进行经营或销售的处罚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spacing w:beforeLines="50" w:afterLines="50"/>
              <w:rPr>
                <w:rFonts w:ascii="仿宋" w:hAnsi="仿宋" w:eastAsia="仿宋" w:cs="仿宋"/>
                <w:color w:val="auto"/>
                <w:sz w:val="18"/>
                <w:szCs w:val="18"/>
              </w:rPr>
            </w:pPr>
            <w:r>
              <w:rPr>
                <w:rFonts w:hint="eastAsia" w:ascii="仿宋" w:hAnsi="仿宋" w:eastAsia="仿宋" w:cs="仿宋"/>
                <w:color w:val="auto"/>
                <w:sz w:val="18"/>
                <w:szCs w:val="18"/>
              </w:rPr>
              <w:t>【法律】《煤炭法》</w:t>
            </w:r>
          </w:p>
          <w:p>
            <w:pPr>
              <w:spacing w:beforeLines="50" w:afterLines="50"/>
              <w:rPr>
                <w:rFonts w:hint="eastAsia" w:ascii="仿宋" w:hAnsi="仿宋" w:eastAsia="仿宋" w:cs="仿宋"/>
                <w:color w:val="FF0000"/>
                <w:sz w:val="18"/>
                <w:szCs w:val="18"/>
              </w:rPr>
            </w:pPr>
            <w:r>
              <w:rPr>
                <w:rFonts w:hint="eastAsia" w:ascii="仿宋" w:hAnsi="仿宋" w:eastAsia="仿宋" w:cs="仿宋"/>
                <w:color w:val="auto"/>
                <w:sz w:val="18"/>
                <w:szCs w:val="18"/>
              </w:rPr>
              <w:t xml:space="preserve">    </w:t>
            </w:r>
            <w:r>
              <w:rPr>
                <w:rFonts w:hint="eastAsia" w:ascii="仿宋" w:hAnsi="仿宋" w:eastAsia="仿宋" w:cs="仿宋"/>
                <w:color w:val="FF0000"/>
                <w:sz w:val="18"/>
                <w:szCs w:val="18"/>
              </w:rPr>
              <w:t>第四十</w:t>
            </w:r>
            <w:r>
              <w:rPr>
                <w:rFonts w:hint="eastAsia" w:ascii="仿宋" w:hAnsi="仿宋" w:eastAsia="仿宋" w:cs="仿宋"/>
                <w:color w:val="FF0000"/>
                <w:sz w:val="18"/>
                <w:szCs w:val="18"/>
                <w:lang w:val="en-US" w:eastAsia="zh-CN"/>
              </w:rPr>
              <w:t>三</w:t>
            </w:r>
            <w:r>
              <w:rPr>
                <w:rFonts w:hint="eastAsia" w:ascii="仿宋" w:hAnsi="仿宋" w:eastAsia="仿宋" w:cs="仿宋"/>
                <w:color w:val="FF0000"/>
                <w:sz w:val="18"/>
                <w:szCs w:val="18"/>
              </w:rPr>
              <w:t xml:space="preserve">条 </w:t>
            </w:r>
            <w:r>
              <w:rPr>
                <w:rFonts w:hint="eastAsia" w:ascii="仿宋" w:hAnsi="仿宋" w:eastAsia="仿宋" w:cs="仿宋"/>
                <w:color w:val="FF0000"/>
                <w:sz w:val="18"/>
                <w:szCs w:val="18"/>
                <w:lang w:val="en-US" w:eastAsia="zh-CN"/>
              </w:rPr>
              <w:t>煤矿企业和煤炭经营企业供应用户的煤炭质量应当符合国家标准或者行业标准，质级相符，质价相符。用户对煤炭质量有特殊要求的，由供需双方在煤炭购销合同中约定。</w:t>
            </w:r>
          </w:p>
          <w:p>
            <w:pPr>
              <w:spacing w:beforeLines="50" w:afterLines="50"/>
              <w:rPr>
                <w:rFonts w:hint="eastAsia" w:ascii="仿宋" w:hAnsi="仿宋" w:eastAsia="仿宋" w:cs="仿宋"/>
                <w:color w:val="0D0D0D" w:themeColor="text1" w:themeTint="F2"/>
                <w:sz w:val="18"/>
                <w:szCs w:val="18"/>
                <w14:textFill>
                  <w14:solidFill>
                    <w14:schemeClr w14:val="tx1">
                      <w14:lumMod w14:val="95000"/>
                      <w14:lumOff w14:val="5000"/>
                    </w14:schemeClr>
                  </w14:solidFill>
                </w14:textFill>
              </w:rPr>
            </w:pPr>
            <w:r>
              <w:rPr>
                <w:rFonts w:hint="eastAsia" w:ascii="仿宋" w:hAnsi="仿宋" w:eastAsia="仿宋" w:cs="仿宋"/>
                <w:color w:val="0D0D0D" w:themeColor="text1" w:themeTint="F2"/>
                <w:sz w:val="18"/>
                <w:szCs w:val="18"/>
                <w:lang w:val="en-US" w:eastAsia="zh-CN"/>
                <w14:textFill>
                  <w14:solidFill>
                    <w14:schemeClr w14:val="tx1">
                      <w14:lumMod w14:val="95000"/>
                      <w14:lumOff w14:val="5000"/>
                    </w14:schemeClr>
                  </w14:solidFill>
                </w14:textFill>
              </w:rPr>
              <w:t>煤矿企业和煤炭经营企业不得在煤炭中掺杂、掺假，以次充好。</w:t>
            </w:r>
          </w:p>
          <w:p>
            <w:pPr>
              <w:spacing w:beforeLines="50" w:afterLines="50"/>
              <w:rPr>
                <w:rFonts w:ascii="宋体" w:hAnsi="宋体" w:eastAsia="宋体" w:cs="宋体"/>
                <w:color w:val="auto"/>
                <w:kern w:val="0"/>
                <w:sz w:val="14"/>
                <w:szCs w:val="14"/>
              </w:rPr>
            </w:pPr>
            <w:r>
              <w:rPr>
                <w:rFonts w:hint="eastAsia" w:ascii="仿宋" w:hAnsi="仿宋" w:eastAsia="仿宋" w:cs="仿宋"/>
                <w:color w:val="auto"/>
                <w:sz w:val="18"/>
                <w:szCs w:val="18"/>
              </w:rPr>
              <w:t xml:space="preserve">    </w:t>
            </w:r>
            <w:r>
              <w:rPr>
                <w:rFonts w:hint="eastAsia" w:ascii="仿宋" w:hAnsi="仿宋" w:eastAsia="仿宋" w:cs="仿宋"/>
                <w:color w:val="FF0000"/>
                <w:sz w:val="18"/>
                <w:szCs w:val="18"/>
              </w:rPr>
              <w:t>第</w:t>
            </w:r>
            <w:r>
              <w:rPr>
                <w:rFonts w:hint="eastAsia" w:ascii="仿宋" w:hAnsi="仿宋" w:eastAsia="仿宋" w:cs="仿宋"/>
                <w:color w:val="FF0000"/>
                <w:sz w:val="18"/>
                <w:szCs w:val="18"/>
                <w:lang w:val="en-US" w:eastAsia="zh-CN"/>
              </w:rPr>
              <w:t>五十九</w:t>
            </w:r>
            <w:r>
              <w:rPr>
                <w:rFonts w:hint="eastAsia" w:ascii="仿宋" w:hAnsi="仿宋" w:eastAsia="仿宋" w:cs="仿宋"/>
                <w:color w:val="FF0000"/>
                <w:sz w:val="18"/>
                <w:szCs w:val="18"/>
              </w:rPr>
              <w:t>条</w:t>
            </w:r>
            <w:r>
              <w:rPr>
                <w:rFonts w:hint="eastAsia" w:ascii="仿宋" w:hAnsi="仿宋" w:eastAsia="仿宋" w:cs="仿宋"/>
                <w:color w:val="auto"/>
                <w:sz w:val="18"/>
                <w:szCs w:val="18"/>
              </w:rPr>
              <w:t xml:space="preserve"> 违反本法第四十三条的规定，在煤炭产品中掺杂、掺假，以次充好的，责令停止销售，没收违法所得，并处违法所得一倍以上五倍以下的罚款；构成犯罪的，由司法机关依法追究刑事责任。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24</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对建设单位未取得施工许可证或者开工报告未经批准，擅自施工的行政处罚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ascii="宋体" w:hAnsi="宋体" w:eastAsia="宋体" w:cs="宋体"/>
                <w:color w:val="auto"/>
                <w:kern w:val="0"/>
                <w:sz w:val="14"/>
                <w:szCs w:val="14"/>
              </w:rPr>
            </w:pPr>
            <w:r>
              <w:rPr>
                <w:rFonts w:hint="eastAsia" w:ascii="宋体" w:hAnsi="宋体" w:eastAsia="宋体" w:cs="宋体"/>
                <w:color w:val="auto"/>
                <w:kern w:val="0"/>
                <w:sz w:val="18"/>
                <w:szCs w:val="18"/>
              </w:rPr>
              <w:t>【行政法规】《建设工程质量管理条例》（中华人民共和国国务院令第279号）第五十七条：“违反本条例规定，建设单位未取得施工许可证或者开工报告未经批准，擅自施工的，责令停止施工，限期改正，处工程合同价款百分之一以上百分之二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25</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对监理单位与建设单位或施工单位串通、弄虚作假、降低工程质量或将不合格的建设工程、建筑材料、建筑构配件和设备按照合格签字的行政处罚</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行政法规】《建设工程质量管理条例》（中华人民共和国国务院令第279号）第六十七条：“工程监理单位有下列行为之一的，责令改正，处50万元以上100万元以下的罚款，降低资质等级或者吊销资质证书；有违法所得的，予以没收；造成损失的，承担连带赔偿责任：</w:t>
            </w:r>
          </w:p>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（一）与建设单位或者施工单位串通，弄虚作假、降低工程质量的；</w:t>
            </w:r>
          </w:p>
          <w:p>
            <w:pPr>
              <w:widowControl/>
              <w:jc w:val="left"/>
              <w:rPr>
                <w:rFonts w:ascii="宋体" w:hAnsi="宋体" w:eastAsia="宋体" w:cs="宋体"/>
                <w:color w:val="auto"/>
                <w:kern w:val="0"/>
                <w:sz w:val="14"/>
                <w:szCs w:val="14"/>
              </w:rPr>
            </w:pPr>
            <w:r>
              <w:rPr>
                <w:rFonts w:hint="eastAsia" w:ascii="宋体" w:hAnsi="宋体" w:eastAsia="宋体" w:cs="宋体"/>
                <w:color w:val="auto"/>
                <w:kern w:val="0"/>
                <w:sz w:val="18"/>
                <w:szCs w:val="18"/>
              </w:rPr>
              <w:t>（二）将不合格的建设工程、建筑材料、建筑构配件和设备按照合格签字的。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color w:val="auto"/>
              </w:rPr>
              <w:t>2300-B-0</w:t>
            </w:r>
            <w:r>
              <w:rPr>
                <w:rFonts w:hint="eastAsia"/>
                <w:color w:val="auto"/>
                <w:lang w:val="en-US" w:eastAsia="zh-CN"/>
              </w:rPr>
              <w:t>26</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对涉及建筑主体或者承重结构变动的装修工程，没有设计方案擅自施工的和房屋建筑使用者在装修过程中擅自变动房屋建筑主体和承重结构的行政处罚</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jc w:val="left"/>
              <w:rPr>
                <w:rFonts w:ascii="宋体" w:hAnsi="宋体" w:eastAsia="宋体" w:cs="宋体"/>
                <w:color w:val="auto"/>
                <w:kern w:val="0"/>
                <w:sz w:val="10"/>
                <w:szCs w:val="10"/>
              </w:rPr>
            </w:pPr>
            <w:r>
              <w:rPr>
                <w:rFonts w:hint="eastAsia" w:ascii="宋体" w:hAnsi="宋体" w:eastAsia="宋体" w:cs="宋体"/>
                <w:color w:val="auto"/>
                <w:kern w:val="0"/>
                <w:sz w:val="18"/>
                <w:szCs w:val="18"/>
              </w:rPr>
              <w:t>【行政法规】《建设工程质量管理条例》（中华人民共和国国务院令第279号）第六十九条</w:t>
            </w:r>
            <w:r>
              <w:rPr>
                <w:rFonts w:hint="eastAsia" w:ascii="宋体" w:hAnsi="宋体" w:eastAsia="宋体" w:cs="宋体"/>
                <w:color w:val="auto"/>
                <w:kern w:val="0"/>
                <w:sz w:val="18"/>
                <w:szCs w:val="18"/>
                <w:lang w:val="en-US" w:eastAsia="zh-CN"/>
              </w:rPr>
              <w:t>第一款</w:t>
            </w:r>
            <w:r>
              <w:rPr>
                <w:rFonts w:hint="eastAsia" w:ascii="宋体" w:hAnsi="宋体" w:eastAsia="宋体" w:cs="宋体"/>
                <w:color w:val="auto"/>
                <w:kern w:val="0"/>
                <w:sz w:val="18"/>
                <w:szCs w:val="18"/>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 w:val="18"/>
                <w:szCs w:val="18"/>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 w:val="18"/>
                <w:szCs w:val="18"/>
              </w:rPr>
            </w:pPr>
          </w:p>
        </w:tc>
        <w:tc>
          <w:tcPr>
            <w:tcW w:w="873" w:type="dxa"/>
            <w:vAlign w:val="center"/>
          </w:tcPr>
          <w:p>
            <w:pPr>
              <w:spacing w:beforeLines="50" w:afterLines="5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color w:val="auto"/>
                <w:kern w:val="2"/>
                <w:sz w:val="18"/>
                <w:szCs w:val="18"/>
                <w:lang w:val="en-US" w:eastAsia="zh-CN" w:bidi="ar-SA"/>
              </w:rPr>
            </w:pPr>
            <w:r>
              <w:rPr>
                <w:rFonts w:hint="eastAsia"/>
                <w:color w:val="auto"/>
              </w:rPr>
              <w:t>2300-B-0</w:t>
            </w:r>
            <w:r>
              <w:rPr>
                <w:rFonts w:hint="eastAsia"/>
                <w:color w:val="auto"/>
                <w:lang w:val="en-US" w:eastAsia="zh-CN"/>
              </w:rPr>
              <w:t>27</w:t>
            </w:r>
            <w:r>
              <w:rPr>
                <w:rFonts w:hint="eastAsia"/>
                <w:color w:val="auto"/>
              </w:rPr>
              <w:t>00-140581</w:t>
            </w:r>
          </w:p>
        </w:tc>
        <w:tc>
          <w:tcPr>
            <w:tcW w:w="1113" w:type="dxa"/>
            <w:vAlign w:val="center"/>
          </w:tcPr>
          <w:p>
            <w:pPr>
              <w:spacing w:beforeLines="50" w:afterLines="50" w:line="200" w:lineRule="exac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5"/>
                <w:szCs w:val="15"/>
              </w:rPr>
              <w:t>对建设单位迫使承包方以低于成本的价格竞标、任意压缩合理工期、明示或者暗示设计单位或者施工单位违反工程建设强制性标准，降低工程质量、施工图设计文件未经审查或者审查不合格，擅自施工、建设项目必须实行工程监理而未实行工程监理的、未按照国家规定办理工程质量监督手续、明示或者暗示施工单位使用不合格的建筑材料、建筑构配件和设备、未按照国家规定将竣工验收报告、有关认可文件或者准许使用文件报送备案的行政处罚</w:t>
            </w:r>
          </w:p>
        </w:tc>
        <w:tc>
          <w:tcPr>
            <w:tcW w:w="1058" w:type="dxa"/>
            <w:vAlign w:val="center"/>
          </w:tcPr>
          <w:p>
            <w:pPr>
              <w:spacing w:beforeLines="50" w:afterLines="50"/>
              <w:jc w:val="center"/>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【行政法规】《建设工程质量管理条例》（中华人民共和国国务院令第279号）第五十六条：“违反本条例规定，建设单位有下列行为之一的，责令改正，处20万元以上50万元以下的罚款：</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（一）迫使承包方以低于成本的价格竞标的；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（二）任意压缩合理工期的；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（三）明示或者暗示设计单位或者施工单位违反工程建设强制性标准，降低工程质量的；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（四）施工图设计文件未经审查或者审查不合格，擅自施工的；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（五）建设项目必须实行工程监理而未实行工程监理的；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（六）未按照国家规定办理工程质量监督手续的；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（七）明示或者暗示施工单位使用不合格的建筑材料、建筑构配件和设备的；</w:t>
            </w:r>
          </w:p>
          <w:p>
            <w:pPr>
              <w:widowControl/>
              <w:spacing w:line="240" w:lineRule="exact"/>
              <w:jc w:val="left"/>
              <w:rPr>
                <w:rFonts w:hint="eastAsia" w:ascii="仿宋" w:hAnsi="仿宋" w:eastAsia="仿宋" w:cs="仿宋"/>
                <w:color w:val="auto"/>
                <w:kern w:val="2"/>
                <w:sz w:val="15"/>
                <w:szCs w:val="15"/>
                <w:lang w:val="en-US" w:eastAsia="zh-CN" w:bidi="ar-SA"/>
              </w:rPr>
            </w:pPr>
            <w:r>
              <w:rPr>
                <w:rFonts w:hint="eastAsia" w:ascii="宋体" w:hAnsi="宋体" w:eastAsia="宋体" w:cs="宋体"/>
                <w:color w:val="auto"/>
                <w:kern w:val="0"/>
                <w:sz w:val="15"/>
                <w:szCs w:val="15"/>
              </w:rPr>
              <w:t>（八）未按照国家规定将竣工验收报告、有关认可文件或者准许使用文件报送备案的。”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color w:val="auto"/>
                <w:kern w:val="2"/>
                <w:sz w:val="18"/>
                <w:szCs w:val="18"/>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18"/>
                <w:szCs w:val="18"/>
                <w:lang w:val="en-US" w:eastAsia="zh-CN" w:bidi="ar-SA"/>
              </w:rPr>
            </w:pPr>
          </w:p>
        </w:tc>
        <w:tc>
          <w:tcPr>
            <w:tcW w:w="873" w:type="dxa"/>
            <w:vAlign w:val="center"/>
          </w:tcPr>
          <w:p>
            <w:pPr>
              <w:spacing w:beforeLines="50" w:afterLines="50"/>
              <w:jc w:val="center"/>
              <w:rPr>
                <w:rFonts w:ascii="仿宋" w:hAnsi="仿宋" w:eastAsia="仿宋" w:cs="仿宋"/>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color w:val="auto"/>
                <w:kern w:val="2"/>
                <w:sz w:val="18"/>
                <w:szCs w:val="18"/>
                <w:lang w:val="en-US" w:eastAsia="zh-CN" w:bidi="ar-SA"/>
              </w:rPr>
            </w:pPr>
            <w:r>
              <w:rPr>
                <w:rFonts w:hint="eastAsia"/>
                <w:color w:val="auto"/>
              </w:rPr>
              <w:t>2300-B-0</w:t>
            </w:r>
            <w:r>
              <w:rPr>
                <w:rFonts w:hint="eastAsia"/>
                <w:color w:val="auto"/>
                <w:lang w:val="en-US" w:eastAsia="zh-CN"/>
              </w:rPr>
              <w:t>28</w:t>
            </w:r>
            <w:r>
              <w:rPr>
                <w:rFonts w:hint="eastAsia"/>
                <w:color w:val="auto"/>
              </w:rPr>
              <w:t>00-140581</w:t>
            </w:r>
          </w:p>
        </w:tc>
        <w:tc>
          <w:tcPr>
            <w:tcW w:w="1113" w:type="dxa"/>
            <w:vAlign w:val="center"/>
          </w:tcPr>
          <w:p>
            <w:pPr>
              <w:spacing w:beforeLines="50" w:afterLines="50"/>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对施工单位未对建筑材料、建筑构配件、设备和商品混凝土进行检验，或者未对涉及结构安全的试块、试件以及有关材料取样检测的行政处罚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hint="eastAsia" w:ascii="仿宋" w:hAnsi="仿宋" w:eastAsia="仿宋" w:cs="仿宋"/>
                <w:color w:val="auto"/>
                <w:kern w:val="2"/>
                <w:sz w:val="15"/>
                <w:szCs w:val="15"/>
                <w:lang w:val="en-US" w:eastAsia="zh-CN" w:bidi="ar-SA"/>
              </w:rPr>
            </w:pPr>
            <w:r>
              <w:rPr>
                <w:rFonts w:hint="eastAsia" w:ascii="宋体" w:hAnsi="宋体" w:eastAsia="宋体" w:cs="宋体"/>
                <w:color w:val="auto"/>
                <w:kern w:val="0"/>
                <w:sz w:val="15"/>
                <w:szCs w:val="15"/>
              </w:rPr>
              <w:t>【行政法规】《建设工程质量管理条例》（中华人民共和国国务院令第279号）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color w:val="auto"/>
                <w:kern w:val="2"/>
                <w:sz w:val="18"/>
                <w:szCs w:val="18"/>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18"/>
                <w:szCs w:val="18"/>
                <w:lang w:val="en-US" w:eastAsia="zh-CN" w:bidi="ar-SA"/>
              </w:rPr>
            </w:pPr>
          </w:p>
        </w:tc>
        <w:tc>
          <w:tcPr>
            <w:tcW w:w="873" w:type="dxa"/>
            <w:vAlign w:val="center"/>
          </w:tcPr>
          <w:p>
            <w:pPr>
              <w:spacing w:beforeLines="50" w:afterLines="50"/>
              <w:jc w:val="center"/>
              <w:rPr>
                <w:rFonts w:ascii="仿宋" w:hAnsi="仿宋" w:eastAsia="仿宋" w:cs="仿宋"/>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color w:val="auto"/>
                <w:kern w:val="2"/>
                <w:sz w:val="18"/>
                <w:szCs w:val="18"/>
                <w:lang w:val="en-US" w:eastAsia="zh-CN" w:bidi="ar-SA"/>
              </w:rPr>
            </w:pPr>
            <w:r>
              <w:rPr>
                <w:rFonts w:hint="eastAsia"/>
                <w:color w:val="auto"/>
              </w:rPr>
              <w:t>2300-B-0</w:t>
            </w:r>
            <w:r>
              <w:rPr>
                <w:rFonts w:hint="eastAsia"/>
                <w:color w:val="auto"/>
                <w:lang w:val="en-US" w:eastAsia="zh-CN"/>
              </w:rPr>
              <w:t>29</w:t>
            </w:r>
            <w:r>
              <w:rPr>
                <w:rFonts w:hint="eastAsia"/>
                <w:color w:val="auto"/>
              </w:rPr>
              <w:t>00-140581</w:t>
            </w:r>
          </w:p>
        </w:tc>
        <w:tc>
          <w:tcPr>
            <w:tcW w:w="1113" w:type="dxa"/>
            <w:vAlign w:val="center"/>
          </w:tcPr>
          <w:p>
            <w:pPr>
              <w:spacing w:beforeLines="50" w:afterLines="50"/>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对勘察单位未按照工程建设强制性标准进行勘察；设计单位未根据勘察成果文件进行工程设计；指定建筑材料、建筑构配件的生产厂、供应商；未按照工程建设强制性标准进行设计的行政处罚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【行政法规】《建设工程质量管理条例》（中华人民共和国国务院令第279号）第六十三条：“违反本条例规定，有下列行为之一的，责令改正，处10万元以上30万元以下的罚款：</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（一）勘察单位未按照工程建设强制性标准进行勘察的；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（二）设计单位未根据勘察成果文件进行工程设计的；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（三）设计单位指定建筑材料、建筑构配件的生产厂、供应商的；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（四）设计单位未按照工程建设强制性标准进行设计的。</w:t>
            </w:r>
          </w:p>
          <w:p>
            <w:pPr>
              <w:widowControl/>
              <w:spacing w:line="240" w:lineRule="exact"/>
              <w:jc w:val="left"/>
              <w:rPr>
                <w:rFonts w:hint="eastAsia" w:ascii="仿宋" w:hAnsi="仿宋" w:eastAsia="仿宋" w:cs="仿宋"/>
                <w:color w:val="auto"/>
                <w:kern w:val="2"/>
                <w:sz w:val="18"/>
                <w:szCs w:val="18"/>
                <w:lang w:val="en-US" w:eastAsia="zh-CN" w:bidi="ar-SA"/>
              </w:rPr>
            </w:pPr>
            <w:r>
              <w:rPr>
                <w:rFonts w:hint="eastAsia" w:ascii="宋体" w:hAnsi="宋体" w:eastAsia="宋体" w:cs="宋体"/>
                <w:color w:val="auto"/>
                <w:kern w:val="0"/>
                <w:sz w:val="15"/>
                <w:szCs w:val="15"/>
              </w:rPr>
              <w:t>有前款所列行为，造成工程质量事故的，责令停业整顿，降低资质等级；情节严重的，吊销资质证书；造成损失的，依法承担赔偿责任。”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color w:val="auto"/>
                <w:kern w:val="2"/>
                <w:sz w:val="18"/>
                <w:szCs w:val="18"/>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18"/>
                <w:szCs w:val="18"/>
                <w:lang w:val="en-US" w:eastAsia="zh-CN" w:bidi="ar-SA"/>
              </w:rPr>
            </w:pPr>
          </w:p>
        </w:tc>
        <w:tc>
          <w:tcPr>
            <w:tcW w:w="873" w:type="dxa"/>
            <w:vAlign w:val="center"/>
          </w:tcPr>
          <w:p>
            <w:pPr>
              <w:spacing w:beforeLines="50" w:afterLines="50"/>
              <w:jc w:val="center"/>
              <w:rPr>
                <w:rFonts w:ascii="仿宋" w:hAnsi="仿宋" w:eastAsia="仿宋" w:cs="仿宋"/>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2300-B-03</w:t>
            </w:r>
            <w:r>
              <w:rPr>
                <w:rFonts w:hint="eastAsia"/>
                <w:color w:val="auto"/>
                <w:lang w:val="en-US" w:eastAsia="zh-CN"/>
              </w:rPr>
              <w:t>0</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对建设单位将建设工程肢解发包的行政处罚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行政法规】《建设工程质量管理条例》（中华人民共和国国务院令第279号）第五十五条：“违反本条例规定，建设单位将建设工程肢解发包的，责令改正，处工程合同价款百分之零点五以上百分之一以下的罚款；对全部或者部分使用国有资金的项目，并可以暂停项目执行或者暂停资金拨付。”</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2300-B-03</w:t>
            </w:r>
            <w:r>
              <w:rPr>
                <w:rFonts w:hint="eastAsia"/>
                <w:color w:val="auto"/>
                <w:lang w:val="en-US" w:eastAsia="zh-CN"/>
              </w:rPr>
              <w:t>1</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对单位工程质量违法行为直接负责的主管人员和其他直接责任人员的行政处罚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行政法规】《建设工程质量管理条例》（中华人民共和国国务院令第279号）第七十三条：依照本条例规定，给予单位罚款处罚的，对单位直接负责的主管人员和其他直接责任人员处单位罚款数额百分之五以上百分之十以下的</w:t>
            </w:r>
            <w:r>
              <w:rPr>
                <w:rFonts w:hint="eastAsia" w:ascii="宋体" w:hAnsi="宋体" w:eastAsia="宋体" w:cs="宋体"/>
                <w:color w:val="FF0000"/>
                <w:kern w:val="0"/>
                <w:sz w:val="15"/>
                <w:szCs w:val="15"/>
              </w:rPr>
              <w:t>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32</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对施工单位在施工中偷工减料的，使用不合格的建筑材料、建筑构配件和设备的，或者有不按照工程设计图纸或者施工技术标准施工的其他行为的行政处罚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行政法规】《建设工程质量管理条例》（中华人民共和国国务院令第279号）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33</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对勘察、设计、施工、工程监理单位超越本单位资质等级承揽工程的行政处罚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未取得资质证书承揽工程的，予以取缔，依照前款规定处以罚款；有违法所得的，予以没收。</w:t>
            </w:r>
          </w:p>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以欺骗手段取得资质证书承揽工程的，吊销资质证书，依照本条第一款规定处以罚款；有违法所得的，予以没收。</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34</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对建设单位将建设工程发包给不具有相应资质等级的勘察、设计、施工单位或者委托给不具有相应资质等级的工程监理单位的行政处罚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行政法规】《建设工程质量管理条例》（中华人民共和国国务院令第279号）第五十四条：“违反本条例规定，建设单位将建设工程发包给不具有相应资质等级的勘察、设计、施工单位或者委托给不具有相应资质等级的工程监理单位的，责令改正，处50万元以上100万元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35</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对勘察、设计、施工、工程监理单位允许其他单位或者个人以本单位名义承揽工程的行政处罚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5"/>
                <w:szCs w:val="15"/>
              </w:rPr>
              <w:t>【行政法规】《建设工程质量管理条例》（中华人民共和国国务院令第279号）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36</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对施工单位不履行保修义务或者拖延履行保修义务的行政处罚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六十六条：“违反本条例规定，施工单位不履行保修义务或者拖延履行保修义务的，责令改正，处10万元以上20万元以下的罚款，并对在保修期内因质量缺陷造成的损失承担赔偿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37</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对承包单位将承包的工程转包或者违法分包的行政处罚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工程监理单位转让工程监理业务的，责令改正，没收违法所得，处合同约定的监理酬金百分之二十五以上百分之五十以下的罚款；可以责令停业整顿，降低资质等级；情节严重的，吊销资质证书。”</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38</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对监理单位与被监理工程的施工承包单位以及建筑材料、建筑构配件和设备供应单位有隶属关系或者其他利害关系承担该项建设工程的监理业务的行政处罚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39</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对建设单位未组织竣工验收，擅自交付使用、验收不合格，擅自交付使用、对不合格的建设工程按照合格工程验收的行政处罚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行政法规】《建设工程质量管理条例》（中华人民共和国国务院令第279号）第五十八条：“违反本条例规定，建设单位有下列行为之一的，责令改正，处工程合同价款百分之二以上百分之四以下的罚款；造成损失的，依法承担赔偿责任；</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（一）未组织竣工验收，擅自交付使用的；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（二）验收不合格，擅自交付使用的；</w:t>
            </w:r>
          </w:p>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（三）对不合格的建设工程按照合格工程验收的。”</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40</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对能源企业（煤矿除外）未执行有关安全生产法律法规、标准和规范的行政处罚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 xml:space="preserve">【地方性法规】《山西省安全生产条例》第七十三条 违反本条例规定，生产经营单位不具备安全生产条件开展生产经营活动的，由负有安全生产监督管理职责的部门责令限期改正;情节严重的，依法责令停产停业整顿;经停产停业整顿仍不具备安全生产条件的，由负有安全生产监督管理职责的部门报县级以上人民政府依法决定关闭，有关部门应当依法吊销其有关证照。                                 </w:t>
            </w:r>
            <w:r>
              <w:rPr>
                <w:rFonts w:hint="eastAsia" w:ascii="宋体" w:hAnsi="宋体" w:eastAsia="宋体" w:cs="宋体"/>
                <w:color w:val="FF0000"/>
                <w:kern w:val="0"/>
                <w:sz w:val="15"/>
                <w:szCs w:val="15"/>
              </w:rPr>
              <w:t>第七十</w:t>
            </w:r>
            <w:r>
              <w:rPr>
                <w:rFonts w:hint="eastAsia" w:ascii="宋体" w:hAnsi="宋体" w:eastAsia="宋体" w:cs="宋体"/>
                <w:color w:val="FF0000"/>
                <w:kern w:val="0"/>
                <w:sz w:val="15"/>
                <w:szCs w:val="15"/>
                <w:lang w:val="en-US" w:eastAsia="zh-CN"/>
              </w:rPr>
              <w:t>四</w:t>
            </w:r>
            <w:r>
              <w:rPr>
                <w:rFonts w:hint="eastAsia" w:ascii="宋体" w:hAnsi="宋体" w:eastAsia="宋体" w:cs="宋体"/>
                <w:color w:val="FF0000"/>
                <w:kern w:val="0"/>
                <w:sz w:val="15"/>
                <w:szCs w:val="15"/>
              </w:rPr>
              <w:t>条</w:t>
            </w:r>
            <w:r>
              <w:rPr>
                <w:rFonts w:hint="eastAsia" w:ascii="宋体" w:hAnsi="宋体" w:eastAsia="宋体" w:cs="宋体"/>
                <w:color w:val="auto"/>
                <w:kern w:val="0"/>
                <w:sz w:val="15"/>
                <w:szCs w:val="15"/>
              </w:rPr>
              <w:t xml:space="preserve"> 违反本条例规定，生产经营单位未设置安全生产管理机构或者配备安全生产管理人员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41</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对能源企业（煤矿除外）未建立重大危险源管理制度的行政处罚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【地方性法规】《山西省安全生产条例》第七十五条 违反本条例规定，生产经营单位未建立健全重大危险源管理制度，未采取安全措施的，由负有安全生产监督管理职责的部门责令限期改正，可以处一万元以上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2300-B-0</w:t>
            </w:r>
            <w:r>
              <w:rPr>
                <w:rFonts w:hint="eastAsia"/>
                <w:color w:val="auto"/>
                <w:lang w:val="en-US" w:eastAsia="zh-CN"/>
              </w:rPr>
              <w:t>42</w:t>
            </w:r>
            <w:r>
              <w:rPr>
                <w:rFonts w:hint="eastAsia"/>
                <w:color w:val="auto"/>
              </w:rPr>
              <w:t>00-140581</w:t>
            </w:r>
          </w:p>
        </w:tc>
        <w:tc>
          <w:tcPr>
            <w:tcW w:w="1113" w:type="dxa"/>
            <w:vAlign w:val="center"/>
          </w:tcPr>
          <w:p>
            <w:pPr>
              <w:spacing w:beforeLines="50" w:afterLines="50"/>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对能源企业（煤矿除外）未开展隐患排查治理的行政处罚</w:t>
            </w:r>
          </w:p>
        </w:tc>
        <w:tc>
          <w:tcPr>
            <w:tcW w:w="1058" w:type="dxa"/>
            <w:vAlign w:val="center"/>
          </w:tcPr>
          <w:p>
            <w:pPr>
              <w:spacing w:beforeLines="50" w:afterLines="50"/>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1910" w:type="dxa"/>
            <w:vAlign w:val="center"/>
          </w:tcPr>
          <w:p>
            <w:pPr>
              <w:widowControl/>
              <w:spacing w:line="240" w:lineRule="exact"/>
              <w:jc w:val="left"/>
              <w:rPr>
                <w:rFonts w:ascii="宋体" w:hAnsi="宋体" w:eastAsia="宋体" w:cs="宋体"/>
                <w:color w:val="auto"/>
                <w:kern w:val="0"/>
                <w:sz w:val="15"/>
                <w:szCs w:val="15"/>
              </w:rPr>
            </w:pPr>
            <w:r>
              <w:rPr>
                <w:rFonts w:hint="eastAsia" w:ascii="宋体" w:hAnsi="宋体" w:eastAsia="宋体" w:cs="宋体"/>
                <w:color w:val="auto"/>
                <w:kern w:val="0"/>
                <w:sz w:val="15"/>
                <w:szCs w:val="15"/>
              </w:rPr>
              <w:t>【地方性法规】《山西省安全生产条例》第七十六条 违反本条例规定，生产经营单位未及时排查治理事故隐患并如实记录排查、治理、评估、验收等内容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ascii="仿宋" w:hAnsi="仿宋" w:eastAsia="仿宋" w:cs="仿宋"/>
                <w:color w:val="auto"/>
                <w:szCs w:val="21"/>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szCs w:val="21"/>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color w:val="auto"/>
                <w:kern w:val="2"/>
                <w:sz w:val="21"/>
                <w:szCs w:val="21"/>
                <w:lang w:val="en-US" w:eastAsia="zh-CN" w:bidi="ar-SA"/>
              </w:rPr>
            </w:pPr>
            <w:r>
              <w:rPr>
                <w:rFonts w:hint="eastAsia"/>
                <w:color w:val="auto"/>
              </w:rPr>
              <w:t>2300-B-0</w:t>
            </w:r>
            <w:r>
              <w:rPr>
                <w:rFonts w:hint="eastAsia"/>
                <w:color w:val="auto"/>
                <w:lang w:val="en-US" w:eastAsia="zh-CN"/>
              </w:rPr>
              <w:t>43</w:t>
            </w:r>
            <w:r>
              <w:rPr>
                <w:rFonts w:hint="eastAsia"/>
                <w:color w:val="auto"/>
              </w:rPr>
              <w:t>00-140581</w:t>
            </w:r>
          </w:p>
        </w:tc>
        <w:tc>
          <w:tcPr>
            <w:tcW w:w="1113" w:type="dxa"/>
            <w:vAlign w:val="center"/>
          </w:tcPr>
          <w:p>
            <w:pPr>
              <w:spacing w:beforeLines="50" w:afterLines="50"/>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对可再生能源全额保障性收购情况的行政处罚</w:t>
            </w:r>
          </w:p>
        </w:tc>
        <w:tc>
          <w:tcPr>
            <w:tcW w:w="1058" w:type="dxa"/>
            <w:vAlign w:val="center"/>
          </w:tcPr>
          <w:p>
            <w:pPr>
              <w:spacing w:beforeLines="50" w:afterLines="50"/>
              <w:rPr>
                <w:rFonts w:ascii="仿宋_GB2312" w:hAnsi="仿宋_GB2312" w:eastAsia="仿宋_GB2312" w:cs="仿宋_GB2312"/>
                <w:color w:val="auto"/>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宋体"/>
                <w:color w:val="auto"/>
                <w:kern w:val="0"/>
                <w:sz w:val="13"/>
                <w:szCs w:val="13"/>
              </w:rPr>
            </w:pPr>
            <w:r>
              <w:rPr>
                <w:rFonts w:hint="eastAsia" w:ascii="宋体" w:hAnsi="宋体" w:eastAsia="宋体" w:cs="宋体"/>
                <w:color w:val="auto"/>
                <w:kern w:val="0"/>
                <w:sz w:val="13"/>
                <w:szCs w:val="13"/>
              </w:rPr>
              <w:t>1.【法律】《中华人民共和国可再生能源法》第二十九条：“违反本法第十四条规定，电网企业未全额收购可再生能源电量，造成可再生能源发电企业经济损失的，应当承担赔偿责任，并由国家电力监管机构责令限期改正；拒不改正的，处以可再生能源发电企业经济损失额一倍以下的罚款。”</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auto"/>
                <w:kern w:val="0"/>
                <w:sz w:val="15"/>
                <w:szCs w:val="15"/>
                <w:lang w:val="en-US" w:eastAsia="zh-CN" w:bidi="ar-SA"/>
              </w:rPr>
            </w:pPr>
            <w:r>
              <w:rPr>
                <w:rFonts w:hint="eastAsia" w:ascii="宋体" w:hAnsi="宋体" w:eastAsia="宋体" w:cs="宋体"/>
                <w:color w:val="auto"/>
                <w:kern w:val="0"/>
                <w:sz w:val="13"/>
                <w:szCs w:val="13"/>
              </w:rPr>
              <w:t>2.【规章】《电网企业全额收购可再生能源电量监管办法》（国家电力监管委员会令第25号）第二十条：“电网企业、电力调度机构有下列行为之一，造成可再生能源发电企业经济损失的，电网企业应当承担赔偿责任，并由电力监管机构责令限期改正；拒不改正的，电力监管机构可以处以可再生能源发电企业经济损失额一倍以下的罚款：（一）违反规定未建设或者未及时建设可再生能源发电项目接入工程的；（二）拒绝或者阻碍与可再生能源发电企业签订购售电合同、并网调度协议的；　　（三）未提供或者未及时提供可再生能源发电上网服务的；（四）未优先调度可再生能源发电的；（五）其它因电网企业或者电力调度机构原因造成未能全额收购可再生能源电量的情形。电网企业应当自电力监管机构认定可再生能源发电企业经济损失之日起15日内予以赔偿。”</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color w:val="auto"/>
                <w:kern w:val="2"/>
                <w:sz w:val="21"/>
                <w:szCs w:val="21"/>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color w:val="auto"/>
                <w:kern w:val="2"/>
                <w:sz w:val="21"/>
                <w:szCs w:val="21"/>
                <w:lang w:val="en-US" w:eastAsia="zh-CN" w:bidi="ar-SA"/>
              </w:rPr>
            </w:pPr>
          </w:p>
        </w:tc>
        <w:tc>
          <w:tcPr>
            <w:tcW w:w="873" w:type="dxa"/>
            <w:vAlign w:val="center"/>
          </w:tcPr>
          <w:p>
            <w:pPr>
              <w:spacing w:beforeLines="50" w:afterLines="50"/>
              <w:jc w:val="center"/>
              <w:rPr>
                <w:rFonts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仿宋" w:hAnsi="仿宋" w:eastAsia="仿宋" w:cs="仿宋"/>
                <w:kern w:val="2"/>
                <w:sz w:val="18"/>
                <w:szCs w:val="18"/>
                <w:lang w:val="en-US" w:eastAsia="zh-CN" w:bidi="ar-SA"/>
              </w:rPr>
            </w:pPr>
            <w:r>
              <w:rPr>
                <w:rFonts w:hint="eastAsia"/>
                <w:color w:val="auto"/>
                <w:lang w:val="en-US" w:eastAsia="zh-CN"/>
              </w:rPr>
              <w:t>2300-B-04400-140581</w:t>
            </w:r>
          </w:p>
        </w:tc>
        <w:tc>
          <w:tcPr>
            <w:tcW w:w="1113" w:type="dxa"/>
            <w:vAlign w:val="center"/>
          </w:tcPr>
          <w:p>
            <w:pPr>
              <w:spacing w:beforeLines="50" w:afterLines="50"/>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对依法必须招标项目的违法行为</w:t>
            </w:r>
            <w:r>
              <w:rPr>
                <w:rFonts w:hint="eastAsia" w:ascii="仿宋_GB2312" w:hAnsi="仿宋_GB2312" w:eastAsia="仿宋_GB2312" w:cs="仿宋_GB2312"/>
                <w:sz w:val="18"/>
                <w:szCs w:val="18"/>
                <w:lang w:val="en-US" w:eastAsia="zh-CN"/>
              </w:rPr>
              <w:t>的行政</w:t>
            </w:r>
            <w:r>
              <w:rPr>
                <w:rFonts w:hint="eastAsia" w:ascii="仿宋_GB2312" w:hAnsi="仿宋_GB2312" w:eastAsia="仿宋_GB2312" w:cs="仿宋_GB2312"/>
                <w:sz w:val="18"/>
                <w:szCs w:val="18"/>
              </w:rPr>
              <w:t>处罚</w:t>
            </w:r>
          </w:p>
        </w:tc>
        <w:tc>
          <w:tcPr>
            <w:tcW w:w="1058" w:type="dxa"/>
            <w:vAlign w:val="center"/>
          </w:tcPr>
          <w:p>
            <w:pPr>
              <w:spacing w:beforeLines="50" w:afterLines="50"/>
              <w:rPr>
                <w:rFonts w:ascii="仿宋_GB2312" w:hAnsi="仿宋_GB2312" w:eastAsia="仿宋_GB2312" w:cs="仿宋_GB2312"/>
                <w:kern w:val="2"/>
                <w:sz w:val="18"/>
                <w:szCs w:val="18"/>
                <w:lang w:val="en-US" w:eastAsia="zh-CN" w:bidi="ar-SA"/>
              </w:rPr>
            </w:pPr>
          </w:p>
        </w:tc>
        <w:tc>
          <w:tcPr>
            <w:tcW w:w="1277" w:type="dxa"/>
            <w:vAlign w:val="center"/>
          </w:tcPr>
          <w:p>
            <w:pPr>
              <w:spacing w:beforeLines="50" w:afterLines="5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高平市能源局</w:t>
            </w:r>
          </w:p>
        </w:tc>
        <w:tc>
          <w:tcPr>
            <w:tcW w:w="850" w:type="dxa"/>
            <w:vAlign w:val="center"/>
          </w:tcPr>
          <w:p>
            <w:pPr>
              <w:spacing w:beforeLines="50" w:afterLines="5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行政处罚</w:t>
            </w:r>
          </w:p>
        </w:tc>
        <w:tc>
          <w:tcPr>
            <w:tcW w:w="1910" w:type="dxa"/>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仿宋" w:hAnsi="仿宋" w:eastAsia="仿宋" w:cs="仿宋"/>
                <w:color w:val="auto"/>
                <w:sz w:val="15"/>
                <w:szCs w:val="15"/>
              </w:rPr>
            </w:pPr>
            <w:r>
              <w:rPr>
                <w:rFonts w:hint="eastAsia" w:ascii="仿宋" w:hAnsi="仿宋" w:eastAsia="仿宋" w:cs="仿宋"/>
                <w:color w:val="auto"/>
                <w:sz w:val="15"/>
                <w:szCs w:val="15"/>
              </w:rPr>
              <w:t>【法律】《</w:t>
            </w:r>
            <w:r>
              <w:rPr>
                <w:rFonts w:hint="eastAsia" w:ascii="仿宋" w:hAnsi="仿宋" w:eastAsia="仿宋" w:cs="仿宋"/>
                <w:color w:val="auto"/>
                <w:sz w:val="15"/>
                <w:szCs w:val="15"/>
                <w:lang w:val="en-US" w:eastAsia="zh-CN"/>
              </w:rPr>
              <w:t>中华人民共和国</w:t>
            </w:r>
            <w:r>
              <w:rPr>
                <w:rFonts w:hint="eastAsia" w:ascii="仿宋" w:hAnsi="仿宋" w:eastAsia="仿宋" w:cs="仿宋"/>
                <w:color w:val="auto"/>
                <w:sz w:val="15"/>
                <w:szCs w:val="15"/>
              </w:rPr>
              <w:t>招标投标法》</w:t>
            </w:r>
            <w:r>
              <w:rPr>
                <w:rFonts w:hint="eastAsia" w:ascii="仿宋" w:hAnsi="仿宋" w:eastAsia="仿宋" w:cs="仿宋"/>
                <w:color w:val="auto"/>
                <w:sz w:val="15"/>
                <w:szCs w:val="15"/>
                <w:lang w:eastAsia="zh-CN"/>
              </w:rPr>
              <w:t>（中华人民共和国主席令第</w:t>
            </w:r>
            <w:r>
              <w:rPr>
                <w:rFonts w:hint="eastAsia" w:ascii="仿宋" w:hAnsi="仿宋" w:eastAsia="仿宋" w:cs="仿宋"/>
                <w:color w:val="auto"/>
                <w:sz w:val="15"/>
                <w:szCs w:val="15"/>
                <w:lang w:val="en-US" w:eastAsia="zh-CN"/>
              </w:rPr>
              <w:t>86</w:t>
            </w:r>
            <w:r>
              <w:rPr>
                <w:rFonts w:hint="eastAsia" w:ascii="仿宋" w:hAnsi="仿宋" w:eastAsia="仿宋" w:cs="仿宋"/>
                <w:color w:val="auto"/>
                <w:sz w:val="15"/>
                <w:szCs w:val="15"/>
                <w:lang w:eastAsia="zh-CN"/>
              </w:rPr>
              <w:t>号）</w:t>
            </w:r>
            <w:r>
              <w:rPr>
                <w:rFonts w:hint="eastAsia" w:ascii="仿宋" w:hAnsi="仿宋" w:eastAsia="仿宋" w:cs="仿宋"/>
                <w:color w:val="auto"/>
                <w:sz w:val="15"/>
                <w:szCs w:val="15"/>
              </w:rPr>
              <w:t>第七条招标投标活动及其当事人应当接受依法实施的监督。有关行政监督部门依法对招标投标活动实施监督，依法查处招标投标活动中的违法行为。 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eastAsia="zh-CN"/>
              </w:rPr>
              <w:t>【</w:t>
            </w:r>
            <w:r>
              <w:rPr>
                <w:rFonts w:hint="eastAsia" w:ascii="仿宋" w:hAnsi="仿宋" w:eastAsia="仿宋" w:cs="仿宋"/>
                <w:color w:val="auto"/>
                <w:sz w:val="15"/>
                <w:szCs w:val="15"/>
                <w:lang w:val="en-US" w:eastAsia="zh-CN"/>
              </w:rPr>
              <w:t>行政法规</w:t>
            </w:r>
            <w:r>
              <w:rPr>
                <w:rFonts w:hint="eastAsia" w:ascii="仿宋" w:hAnsi="仿宋" w:eastAsia="仿宋" w:cs="仿宋"/>
                <w:color w:val="auto"/>
                <w:sz w:val="15"/>
                <w:szCs w:val="15"/>
                <w:lang w:eastAsia="zh-CN"/>
              </w:rPr>
              <w:t>】《</w:t>
            </w:r>
            <w:r>
              <w:rPr>
                <w:rFonts w:hint="eastAsia" w:ascii="仿宋" w:hAnsi="仿宋" w:eastAsia="仿宋" w:cs="仿宋"/>
                <w:color w:val="auto"/>
                <w:sz w:val="15"/>
                <w:szCs w:val="15"/>
                <w:lang w:val="en-US" w:eastAsia="zh-CN"/>
              </w:rPr>
              <w:t>中华人民共和国招标投标法实施条例》（中华人民共和国国务院令第709号）第四条</w:t>
            </w:r>
          </w:p>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仿宋" w:hAnsi="仿宋" w:eastAsia="仿宋" w:cs="仿宋"/>
                <w:color w:val="auto"/>
                <w:kern w:val="2"/>
                <w:sz w:val="15"/>
                <w:szCs w:val="15"/>
                <w:lang w:val="en-US" w:eastAsia="zh-CN" w:bidi="ar-SA"/>
              </w:rPr>
            </w:pPr>
            <w:r>
              <w:rPr>
                <w:rFonts w:hint="eastAsia" w:ascii="仿宋" w:hAnsi="仿宋" w:eastAsia="仿宋" w:cs="仿宋"/>
                <w:color w:val="auto"/>
                <w:sz w:val="15"/>
                <w:szCs w:val="15"/>
                <w:lang w:val="en-US" w:eastAsia="zh-CN"/>
              </w:rPr>
              <w:t>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 财政部门依法对实行招标投标的政府采购工程建设项目的预算执行情况和政府采购政策执行情况实施监督。 监察机关依法对与招标投标活动有关的监察对象实施监察。</w:t>
            </w:r>
          </w:p>
        </w:tc>
        <w:tc>
          <w:tcPr>
            <w:tcW w:w="1767" w:type="dxa"/>
            <w:vAlign w:val="center"/>
          </w:tcPr>
          <w:p>
            <w:pPr>
              <w:widowControl/>
              <w:spacing w:line="180" w:lineRule="exact"/>
              <w:jc w:val="left"/>
              <w:rPr>
                <w:rFonts w:ascii="宋体" w:hAnsi="宋体" w:eastAsia="宋体" w:cs="宋体"/>
                <w:color w:val="auto"/>
                <w:kern w:val="0"/>
                <w:sz w:val="11"/>
                <w:szCs w:val="11"/>
              </w:rPr>
            </w:pPr>
            <w:r>
              <w:rPr>
                <w:rFonts w:hint="eastAsia" w:ascii="仿宋" w:hAnsi="仿宋" w:eastAsia="仿宋" w:cs="仿宋"/>
                <w:color w:val="auto"/>
                <w:sz w:val="11"/>
                <w:szCs w:val="11"/>
              </w:rPr>
              <w:t>1</w:t>
            </w:r>
            <w:r>
              <w:rPr>
                <w:rFonts w:hint="eastAsia" w:ascii="宋体" w:hAnsi="宋体" w:eastAsia="宋体" w:cs="宋体"/>
                <w:color w:val="auto"/>
                <w:kern w:val="0"/>
                <w:sz w:val="11"/>
                <w:szCs w:val="11"/>
              </w:rPr>
              <w:t>.立案责任：对检查中或接到举报、部门移交的违法案件，予以审查，决定是否立案。</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4.告知责任：在做出行政处罚决定前，制作《行政处罚告知书》，符合听证条件的制作《听证告知书》，通知当事人，当事人享有的陈述、申辩、要求听证的权利。</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6.送达责任：《行政处罚决定书》按照法定的方式和期限送达当事人。</w:t>
            </w:r>
          </w:p>
          <w:p>
            <w:pPr>
              <w:widowControl/>
              <w:spacing w:line="180" w:lineRule="exact"/>
              <w:jc w:val="left"/>
              <w:rPr>
                <w:rFonts w:ascii="宋体" w:hAnsi="宋体" w:eastAsia="宋体" w:cs="宋体"/>
                <w:color w:val="auto"/>
                <w:kern w:val="0"/>
                <w:sz w:val="11"/>
                <w:szCs w:val="11"/>
              </w:rPr>
            </w:pPr>
            <w:r>
              <w:rPr>
                <w:rFonts w:hint="eastAsia" w:ascii="宋体" w:hAnsi="宋体" w:eastAsia="宋体" w:cs="宋体"/>
                <w:color w:val="auto"/>
                <w:kern w:val="0"/>
                <w:sz w:val="11"/>
                <w:szCs w:val="11"/>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仿宋" w:hAnsi="仿宋" w:eastAsia="仿宋" w:cs="仿宋"/>
                <w:kern w:val="2"/>
                <w:sz w:val="18"/>
                <w:szCs w:val="18"/>
                <w:lang w:val="en-US" w:eastAsia="zh-CN" w:bidi="ar-SA"/>
              </w:rPr>
            </w:pPr>
            <w:r>
              <w:rPr>
                <w:rFonts w:hint="eastAsia" w:ascii="宋体" w:hAnsi="宋体" w:eastAsia="宋体" w:cs="宋体"/>
                <w:color w:val="auto"/>
                <w:kern w:val="0"/>
                <w:sz w:val="11"/>
                <w:szCs w:val="11"/>
              </w:rPr>
              <w:t>8.其他：依照其他法律法规规章规定应履行的责任。</w:t>
            </w:r>
          </w:p>
        </w:tc>
        <w:tc>
          <w:tcPr>
            <w:tcW w:w="4898" w:type="dxa"/>
            <w:vAlign w:val="center"/>
          </w:tcPr>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1.《行政处罚法》第</w:t>
            </w:r>
            <w:r>
              <w:rPr>
                <w:rFonts w:hint="eastAsia" w:ascii="宋体" w:hAnsi="宋体" w:eastAsia="宋体" w:cs="宋体"/>
                <w:color w:val="auto"/>
                <w:kern w:val="0"/>
                <w:sz w:val="16"/>
                <w:szCs w:val="16"/>
                <w:lang w:val="en-US" w:eastAsia="zh-CN"/>
              </w:rPr>
              <w:t>五十四</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2.《行政处罚法》第四十三条、第五十五条、第五十六条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3.《行政处罚法》第</w:t>
            </w:r>
            <w:r>
              <w:rPr>
                <w:rFonts w:hint="eastAsia" w:ascii="宋体" w:hAnsi="宋体" w:eastAsia="宋体" w:cs="宋体"/>
                <w:color w:val="auto"/>
                <w:kern w:val="0"/>
                <w:sz w:val="16"/>
                <w:szCs w:val="16"/>
                <w:lang w:val="en-US" w:eastAsia="zh-CN"/>
              </w:rPr>
              <w:t>五十七</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4.《行政处罚法》</w:t>
            </w:r>
            <w:r>
              <w:rPr>
                <w:rFonts w:hint="eastAsia" w:ascii="宋体" w:hAnsi="宋体" w:eastAsia="宋体" w:cs="宋体"/>
                <w:color w:val="auto"/>
                <w:kern w:val="0"/>
                <w:sz w:val="16"/>
                <w:szCs w:val="16"/>
                <w:lang w:val="en-US" w:eastAsia="zh-CN"/>
              </w:rPr>
              <w:t>四十四</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四十五</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六十二</w:t>
            </w:r>
            <w:r>
              <w:rPr>
                <w:rFonts w:hint="eastAsia" w:ascii="宋体" w:hAnsi="宋体" w:eastAsia="宋体" w:cs="宋体"/>
                <w:color w:val="auto"/>
                <w:kern w:val="0"/>
                <w:sz w:val="16"/>
                <w:szCs w:val="16"/>
              </w:rPr>
              <w:t>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5.《行政处罚法》第</w:t>
            </w:r>
            <w:r>
              <w:rPr>
                <w:rFonts w:hint="eastAsia" w:ascii="宋体" w:hAnsi="宋体" w:eastAsia="宋体" w:cs="宋体"/>
                <w:color w:val="auto"/>
                <w:kern w:val="0"/>
                <w:sz w:val="16"/>
                <w:szCs w:val="16"/>
                <w:lang w:val="en-US" w:eastAsia="zh-CN"/>
              </w:rPr>
              <w:t>五</w:t>
            </w:r>
            <w:r>
              <w:rPr>
                <w:rFonts w:hint="eastAsia" w:ascii="宋体" w:hAnsi="宋体" w:eastAsia="宋体" w:cs="宋体"/>
                <w:color w:val="auto"/>
                <w:kern w:val="0"/>
                <w:sz w:val="16"/>
                <w:szCs w:val="16"/>
              </w:rPr>
              <w:t>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6-1.《行政处罚法》第</w:t>
            </w:r>
            <w:r>
              <w:rPr>
                <w:rFonts w:hint="eastAsia" w:ascii="宋体" w:hAnsi="宋体" w:eastAsia="宋体" w:cs="宋体"/>
                <w:color w:val="auto"/>
                <w:kern w:val="0"/>
                <w:sz w:val="16"/>
                <w:szCs w:val="16"/>
                <w:lang w:val="en-US" w:eastAsia="zh-CN"/>
              </w:rPr>
              <w:t>六十一</w:t>
            </w:r>
            <w:r>
              <w:rPr>
                <w:rFonts w:hint="eastAsia" w:ascii="宋体" w:hAnsi="宋体" w:eastAsia="宋体" w:cs="宋体"/>
                <w:color w:val="auto"/>
                <w:kern w:val="0"/>
                <w:sz w:val="16"/>
                <w:szCs w:val="16"/>
              </w:rPr>
              <w:t>条</w:t>
            </w:r>
          </w:p>
          <w:p>
            <w:pPr>
              <w:widowControl/>
              <w:spacing w:line="240" w:lineRule="exact"/>
              <w:jc w:val="left"/>
              <w:rPr>
                <w:rFonts w:hint="eastAsia" w:ascii="宋体" w:hAnsi="宋体" w:eastAsia="宋体" w:cs="宋体"/>
                <w:color w:val="auto"/>
                <w:kern w:val="0"/>
                <w:sz w:val="16"/>
                <w:szCs w:val="16"/>
              </w:rPr>
            </w:pPr>
            <w:r>
              <w:rPr>
                <w:rFonts w:hint="eastAsia" w:ascii="宋体" w:hAnsi="宋体" w:eastAsia="宋体" w:cs="宋体"/>
                <w:color w:val="auto"/>
                <w:kern w:val="0"/>
                <w:sz w:val="16"/>
                <w:szCs w:val="16"/>
              </w:rPr>
              <w:t>6-2.《山西省行政执法条例》 第二十九条：</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ascii="宋体" w:hAnsi="宋体" w:eastAsia="宋体" w:cs="宋体"/>
                <w:color w:val="auto"/>
                <w:kern w:val="0"/>
                <w:sz w:val="16"/>
                <w:szCs w:val="16"/>
              </w:rPr>
            </w:pPr>
            <w:r>
              <w:rPr>
                <w:rFonts w:hint="eastAsia" w:ascii="宋体" w:hAnsi="宋体" w:eastAsia="宋体" w:cs="宋体"/>
                <w:color w:val="auto"/>
                <w:kern w:val="0"/>
                <w:sz w:val="16"/>
                <w:szCs w:val="16"/>
              </w:rPr>
              <w:t>7.《行政处罚法》第</w:t>
            </w:r>
            <w:r>
              <w:rPr>
                <w:rFonts w:hint="eastAsia" w:ascii="宋体" w:hAnsi="宋体" w:eastAsia="宋体" w:cs="宋体"/>
                <w:color w:val="auto"/>
                <w:kern w:val="0"/>
                <w:sz w:val="16"/>
                <w:szCs w:val="16"/>
                <w:lang w:val="en-US" w:eastAsia="zh-CN"/>
              </w:rPr>
              <w:t>六十六</w:t>
            </w:r>
            <w:r>
              <w:rPr>
                <w:rFonts w:hint="eastAsia" w:ascii="宋体" w:hAnsi="宋体" w:eastAsia="宋体" w:cs="宋体"/>
                <w:color w:val="auto"/>
                <w:kern w:val="0"/>
                <w:sz w:val="16"/>
                <w:szCs w:val="16"/>
              </w:rPr>
              <w:t>条 第</w:t>
            </w:r>
            <w:r>
              <w:rPr>
                <w:rFonts w:hint="eastAsia" w:ascii="宋体" w:hAnsi="宋体" w:eastAsia="宋体" w:cs="宋体"/>
                <w:color w:val="auto"/>
                <w:kern w:val="0"/>
                <w:sz w:val="16"/>
                <w:szCs w:val="16"/>
                <w:lang w:val="en-US" w:eastAsia="zh-CN"/>
              </w:rPr>
              <w:t>七十二</w:t>
            </w:r>
            <w:r>
              <w:rPr>
                <w:rFonts w:hint="eastAsia" w:ascii="宋体" w:hAnsi="宋体" w:eastAsia="宋体" w:cs="宋体"/>
                <w:color w:val="auto"/>
                <w:kern w:val="0"/>
                <w:sz w:val="16"/>
                <w:szCs w:val="16"/>
              </w:rPr>
              <w:t>条</w:t>
            </w:r>
          </w:p>
          <w:p>
            <w:pPr>
              <w:widowControl/>
              <w:spacing w:line="240" w:lineRule="exact"/>
              <w:jc w:val="left"/>
              <w:rPr>
                <w:rFonts w:ascii="仿宋" w:hAnsi="仿宋" w:eastAsia="仿宋" w:cs="仿宋"/>
                <w:kern w:val="2"/>
                <w:sz w:val="18"/>
                <w:szCs w:val="18"/>
                <w:lang w:val="en-US" w:eastAsia="zh-CN" w:bidi="ar-SA"/>
              </w:rPr>
            </w:pP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2300-H-00100-140581</w:t>
            </w:r>
          </w:p>
        </w:tc>
        <w:tc>
          <w:tcPr>
            <w:tcW w:w="1113" w:type="dxa"/>
            <w:vAlign w:val="center"/>
          </w:tcPr>
          <w:p>
            <w:pPr>
              <w:widowControl/>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对全省节能工作先进集体和先进个人的表彰奖励</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行政奖励</w:t>
            </w:r>
          </w:p>
        </w:tc>
        <w:tc>
          <w:tcPr>
            <w:tcW w:w="1910" w:type="dxa"/>
            <w:vAlign w:val="center"/>
          </w:tcPr>
          <w:p>
            <w:pPr>
              <w:spacing w:line="240" w:lineRule="exac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【法律】《节约能源法》第六十七条 各级人民 政府对在节能管理、节能 科学技术研究和推广应用 中有显著成绩以及检举严 重浪费能源行为的单位和个人，给予表彰和奖励。</w:t>
            </w:r>
          </w:p>
          <w:p>
            <w:pPr>
              <w:spacing w:line="240" w:lineRule="exact"/>
              <w:rPr>
                <w:rFonts w:ascii="仿宋_GB2312" w:hAnsi="仿宋_GB2312" w:eastAsia="仿宋_GB2312" w:cs="仿宋_GB2312"/>
                <w:color w:val="FF0000"/>
                <w:sz w:val="13"/>
                <w:szCs w:val="13"/>
              </w:rPr>
            </w:pPr>
            <w:r>
              <w:rPr>
                <w:rFonts w:hint="eastAsia" w:ascii="仿宋_GB2312" w:hAnsi="仿宋_GB2312" w:eastAsia="仿宋_GB2312" w:cs="仿宋_GB2312"/>
                <w:color w:val="auto"/>
                <w:sz w:val="13"/>
                <w:szCs w:val="13"/>
              </w:rPr>
              <w:t>【地方性法规】</w:t>
            </w:r>
            <w:r>
              <w:rPr>
                <w:rFonts w:hint="eastAsia" w:ascii="仿宋_GB2312" w:hAnsi="仿宋_GB2312" w:eastAsia="仿宋_GB2312" w:cs="仿宋_GB2312"/>
                <w:color w:val="FF0000"/>
                <w:sz w:val="13"/>
                <w:szCs w:val="13"/>
              </w:rPr>
              <w:t>《山西省节约能源条例》第四十</w:t>
            </w:r>
            <w:r>
              <w:rPr>
                <w:rFonts w:hint="eastAsia" w:ascii="仿宋_GB2312" w:hAnsi="仿宋_GB2312" w:eastAsia="仿宋_GB2312" w:cs="仿宋_GB2312"/>
                <w:color w:val="FF0000"/>
                <w:sz w:val="13"/>
                <w:szCs w:val="13"/>
                <w:lang w:val="en-US" w:eastAsia="zh-CN"/>
              </w:rPr>
              <w:t>四</w:t>
            </w:r>
            <w:r>
              <w:rPr>
                <w:rFonts w:hint="eastAsia" w:ascii="仿宋_GB2312" w:hAnsi="仿宋_GB2312" w:eastAsia="仿宋_GB2312" w:cs="仿宋_GB2312"/>
                <w:color w:val="FF0000"/>
                <w:sz w:val="13"/>
                <w:szCs w:val="13"/>
              </w:rPr>
              <w:t>条 县级以上 人民政府每年应当对节能 工作成绩显著的单位和个人给予表彰、奖励。</w:t>
            </w:r>
          </w:p>
          <w:p>
            <w:pPr>
              <w:spacing w:line="240" w:lineRule="exact"/>
              <w:rPr>
                <w:rFonts w:hint="eastAsia"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【规范性文件】《国务院 关于加强节能工作的决定》(国发[2006]28号)（三十四）实行节能奖 励制度。各地区、各部门 对在节能管理、节能科学 技术研究和推广工作中做 出显著成绩的单位及个人 要给予表彰和奖励。能源 生产经营单位和用能单位 要制定科学合理的节能奖 励办法，结合本单位的实 际情况，对节能工作中作 出贡献的集体、个人给予 表彰和奖励，节能奖励计入工资总额。</w:t>
            </w:r>
          </w:p>
          <w:p>
            <w:pPr>
              <w:spacing w:line="240" w:lineRule="exact"/>
              <w:rPr>
                <w:rFonts w:ascii="宋体" w:hAnsi="宋体" w:eastAsia="宋体" w:cs="宋体"/>
                <w:color w:val="auto"/>
                <w:kern w:val="0"/>
                <w:sz w:val="15"/>
                <w:szCs w:val="15"/>
              </w:rPr>
            </w:pPr>
            <w:r>
              <w:rPr>
                <w:rFonts w:hint="eastAsia" w:ascii="仿宋_GB2312" w:hAnsi="仿宋_GB2312" w:eastAsia="仿宋_GB2312" w:cs="仿宋_GB2312"/>
                <w:color w:val="FF0000"/>
                <w:sz w:val="13"/>
                <w:szCs w:val="13"/>
                <w:lang w:eastAsia="zh-CN"/>
              </w:rPr>
              <w:t>【</w:t>
            </w:r>
            <w:r>
              <w:rPr>
                <w:rFonts w:hint="eastAsia" w:ascii="仿宋_GB2312" w:hAnsi="仿宋_GB2312" w:eastAsia="仿宋_GB2312" w:cs="仿宋_GB2312"/>
                <w:color w:val="FF0000"/>
                <w:sz w:val="13"/>
                <w:szCs w:val="13"/>
                <w:lang w:val="en-US" w:eastAsia="zh-CN"/>
              </w:rPr>
              <w:t>规范性文件</w:t>
            </w:r>
            <w:r>
              <w:rPr>
                <w:rFonts w:hint="eastAsia" w:ascii="仿宋_GB2312" w:hAnsi="仿宋_GB2312" w:eastAsia="仿宋_GB2312" w:cs="仿宋_GB2312"/>
                <w:color w:val="FF0000"/>
                <w:sz w:val="13"/>
                <w:szCs w:val="13"/>
                <w:lang w:eastAsia="zh-CN"/>
              </w:rPr>
              <w:t>】</w:t>
            </w:r>
            <w:r>
              <w:rPr>
                <w:rFonts w:hint="eastAsia" w:ascii="仿宋_GB2312" w:hAnsi="仿宋_GB2312" w:eastAsia="仿宋_GB2312" w:cs="仿宋_GB2312"/>
                <w:color w:val="auto"/>
                <w:sz w:val="13"/>
                <w:szCs w:val="13"/>
              </w:rPr>
              <w:t>《山西省评比达标表彰工作协调小组关于公布省级以下评比达标表彰项目目录的通知》（晋评组发[2014]2号）项目名称：山西省节能先进集体和先进个人</w:t>
            </w:r>
          </w:p>
        </w:tc>
        <w:tc>
          <w:tcPr>
            <w:tcW w:w="1767"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1.制定方案责任：拟 定 表 彰 奖 励 方 案，通知符合条件 的组织和个人上报相关材料。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2.组织推存责任： 严格按照表彰奖励 方案的条件、程序 、组织推荐工作， 对推荐对象进行初审。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3.审核公示责任： 对符合条件的推荐 对象进行审核，并进行公示。</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4.表彰奖励责任： 将奖励决定形成书 面报告，进行奖励 。</w:t>
            </w:r>
          </w:p>
          <w:p>
            <w:pPr>
              <w:spacing w:line="240" w:lineRule="exact"/>
              <w:rPr>
                <w:rFonts w:ascii="仿宋" w:hAnsi="仿宋" w:eastAsia="仿宋" w:cs="仿宋"/>
                <w:color w:val="auto"/>
                <w:szCs w:val="21"/>
              </w:rPr>
            </w:pPr>
            <w:r>
              <w:rPr>
                <w:rFonts w:hint="eastAsia" w:ascii="仿宋_GB2312" w:hAnsi="仿宋_GB2312" w:eastAsia="仿宋_GB2312" w:cs="仿宋_GB2312"/>
                <w:color w:val="auto"/>
                <w:sz w:val="18"/>
                <w:szCs w:val="18"/>
              </w:rPr>
              <w:t>5.其他：法律法规 规章规定应履行的责任。</w:t>
            </w:r>
          </w:p>
        </w:tc>
        <w:tc>
          <w:tcPr>
            <w:tcW w:w="4898" w:type="dxa"/>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1.《节约能源法》第六十七条 各级人民政府对在 节能管理、节能科学技术 研究和推广应用中有显著 成绩以及检举严重浪费能 源行为的单位和个人，给予表彰和奖励。</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2.《国务院关于加强节能 工 作 的 决 定 》 ( 国 发[2006]28号)（三十四） 实行节能奖励制度。各地 区、各部门对在节能管理 、节能科学技术研究和推 广工作中做出显著成绩的 单位及个人要给予表彰和奖励。能源生产经营单位 和用能单位要制定科学合 理的节能奖励办法，结合 本单位的实际情况，对节能工作中作出贡献的集体 、个人给予表彰和奖励，节能奖励计入工资总额。</w:t>
            </w:r>
          </w:p>
          <w:p>
            <w:pPr>
              <w:spacing w:line="240" w:lineRule="exact"/>
              <w:jc w:val="left"/>
              <w:rPr>
                <w:rFonts w:ascii="仿宋" w:hAnsi="仿宋" w:eastAsia="仿宋" w:cs="仿宋"/>
                <w:color w:val="auto"/>
                <w:szCs w:val="21"/>
              </w:rPr>
            </w:pPr>
            <w:r>
              <w:rPr>
                <w:rFonts w:hint="eastAsia" w:ascii="仿宋_GB2312" w:hAnsi="仿宋_GB2312" w:eastAsia="仿宋_GB2312" w:cs="仿宋_GB2312"/>
                <w:color w:val="auto"/>
                <w:sz w:val="18"/>
                <w:szCs w:val="18"/>
              </w:rPr>
              <w:t>3.《山西省节约能源条例 》</w:t>
            </w:r>
            <w:r>
              <w:rPr>
                <w:rFonts w:hint="eastAsia" w:ascii="仿宋_GB2312" w:hAnsi="仿宋_GB2312" w:eastAsia="仿宋_GB2312" w:cs="仿宋_GB2312"/>
                <w:color w:val="FF0000"/>
                <w:sz w:val="18"/>
                <w:szCs w:val="18"/>
              </w:rPr>
              <w:t>第四十</w:t>
            </w:r>
            <w:r>
              <w:rPr>
                <w:rFonts w:hint="eastAsia" w:ascii="仿宋_GB2312" w:hAnsi="仿宋_GB2312" w:eastAsia="仿宋_GB2312" w:cs="仿宋_GB2312"/>
                <w:color w:val="FF0000"/>
                <w:sz w:val="18"/>
                <w:szCs w:val="18"/>
                <w:lang w:val="en-US" w:eastAsia="zh-CN"/>
              </w:rPr>
              <w:t>四</w:t>
            </w:r>
            <w:r>
              <w:rPr>
                <w:rFonts w:hint="eastAsia" w:ascii="仿宋_GB2312" w:hAnsi="仿宋_GB2312" w:eastAsia="仿宋_GB2312" w:cs="仿宋_GB2312"/>
                <w:color w:val="FF0000"/>
                <w:sz w:val="18"/>
                <w:szCs w:val="18"/>
              </w:rPr>
              <w:t xml:space="preserve">条 </w:t>
            </w:r>
            <w:r>
              <w:rPr>
                <w:rFonts w:hint="eastAsia" w:ascii="仿宋_GB2312" w:hAnsi="仿宋_GB2312" w:eastAsia="仿宋_GB2312" w:cs="仿宋_GB2312"/>
                <w:color w:val="auto"/>
                <w:sz w:val="18"/>
                <w:szCs w:val="18"/>
              </w:rPr>
              <w:t>县级以上 人民政府每年应当对节能工作成绩显著的单位和个人给予表彰、奖励。</w:t>
            </w:r>
          </w:p>
        </w:tc>
        <w:tc>
          <w:tcPr>
            <w:tcW w:w="873" w:type="dxa"/>
            <w:vAlign w:val="center"/>
          </w:tcPr>
          <w:p>
            <w:pPr>
              <w:spacing w:beforeLines="50" w:afterLines="50"/>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2300-Z-00</w:t>
            </w:r>
            <w:r>
              <w:rPr>
                <w:rFonts w:hint="eastAsia"/>
                <w:color w:val="auto"/>
                <w:lang w:val="en-US" w:eastAsia="zh-CN"/>
              </w:rPr>
              <w:t>1</w:t>
            </w:r>
            <w:r>
              <w:rPr>
                <w:rFonts w:hint="eastAsia"/>
                <w:color w:val="auto"/>
              </w:rPr>
              <w:t>00-140581</w:t>
            </w:r>
          </w:p>
        </w:tc>
        <w:tc>
          <w:tcPr>
            <w:tcW w:w="1113" w:type="dxa"/>
            <w:vAlign w:val="center"/>
          </w:tcPr>
          <w:p>
            <w:pPr>
              <w:widowControl/>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煤矿建设项目（含附属选煤厂）初步设计初审上报</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其他类</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仿宋_GB2312" w:hAnsi="仿宋_GB2312" w:eastAsia="仿宋_GB2312" w:cs="仿宋_GB2312"/>
                <w:color w:val="FF0000"/>
                <w:sz w:val="11"/>
                <w:szCs w:val="11"/>
              </w:rPr>
            </w:pPr>
            <w:r>
              <w:rPr>
                <w:rFonts w:hint="eastAsia" w:ascii="仿宋_GB2312" w:hAnsi="仿宋_GB2312" w:eastAsia="仿宋_GB2312" w:cs="仿宋_GB2312"/>
                <w:color w:val="FF0000"/>
                <w:sz w:val="11"/>
                <w:szCs w:val="11"/>
              </w:rPr>
              <w:t>【法律】《中华人民共和国矿山安全法》第八条</w:t>
            </w:r>
            <w:r>
              <w:rPr>
                <w:rFonts w:hint="eastAsia" w:ascii="仿宋_GB2312" w:hAnsi="仿宋_GB2312" w:eastAsia="仿宋_GB2312" w:cs="仿宋_GB2312"/>
                <w:color w:val="FF0000"/>
                <w:sz w:val="11"/>
                <w:szCs w:val="11"/>
                <w:lang w:val="en-US" w:eastAsia="zh-CN"/>
              </w:rPr>
              <w:t xml:space="preserve">第一款 </w:t>
            </w:r>
            <w:r>
              <w:rPr>
                <w:rFonts w:hint="eastAsia" w:ascii="仿宋_GB2312" w:hAnsi="仿宋_GB2312" w:eastAsia="仿宋_GB2312" w:cs="仿宋_GB2312"/>
                <w:color w:val="FF0000"/>
                <w:sz w:val="11"/>
                <w:szCs w:val="11"/>
              </w:rPr>
              <w:t>矿山建设工程的设计文件，必须符合矿山安全规程和行业技术规范，并按照国家规定经管理矿山企业的主管部门批准;不符合矿山安全规程和行业技术规范的，不得批准。</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仿宋_GB2312" w:hAnsi="仿宋_GB2312" w:eastAsia="仿宋_GB2312" w:cs="仿宋_GB2312"/>
                <w:color w:val="FF0000"/>
                <w:sz w:val="11"/>
                <w:szCs w:val="11"/>
              </w:rPr>
            </w:pPr>
            <w:r>
              <w:rPr>
                <w:rFonts w:hint="eastAsia" w:ascii="仿宋_GB2312" w:hAnsi="仿宋_GB2312" w:eastAsia="仿宋_GB2312" w:cs="仿宋_GB2312"/>
                <w:color w:val="FF0000"/>
                <w:sz w:val="11"/>
                <w:szCs w:val="11"/>
              </w:rPr>
              <w:t>【地方性法规】《山西省煤炭管理条例》第十六条</w:t>
            </w:r>
            <w:r>
              <w:rPr>
                <w:rFonts w:hint="eastAsia" w:ascii="仿宋_GB2312" w:hAnsi="仿宋_GB2312" w:eastAsia="仿宋_GB2312" w:cs="仿宋_GB2312"/>
                <w:color w:val="FF0000"/>
                <w:sz w:val="11"/>
                <w:szCs w:val="11"/>
                <w:lang w:val="en-US" w:eastAsia="zh-CN"/>
              </w:rPr>
              <w:t>第一款</w:t>
            </w:r>
            <w:r>
              <w:rPr>
                <w:rFonts w:hint="eastAsia" w:ascii="仿宋_GB2312" w:hAnsi="仿宋_GB2312" w:eastAsia="仿宋_GB2312" w:cs="仿宋_GB2312"/>
                <w:color w:val="FF0000"/>
                <w:sz w:val="11"/>
                <w:szCs w:val="11"/>
              </w:rPr>
              <w:t xml:space="preserve"> 煤矿建设工程按照批准的矿山设计进行施工。实行项目法人责任制和工程监理制，并接受工程质量监督机构的监督。</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仿宋_GB2312" w:hAnsi="仿宋_GB2312" w:eastAsia="仿宋_GB2312" w:cs="仿宋_GB2312"/>
                <w:color w:val="auto"/>
                <w:sz w:val="11"/>
                <w:szCs w:val="11"/>
              </w:rPr>
            </w:pPr>
            <w:r>
              <w:rPr>
                <w:rFonts w:hint="eastAsia" w:ascii="仿宋_GB2312" w:hAnsi="仿宋_GB2312" w:eastAsia="仿宋_GB2312" w:cs="仿宋_GB2312"/>
                <w:color w:val="auto"/>
                <w:sz w:val="11"/>
                <w:szCs w:val="11"/>
              </w:rPr>
              <w:t>【规范性文件】山西省能源局《关于进一步明确煤矿建设项目有关工作的通知》（晋能源煤开发[2019]177号）一、煤矿建设项目初步设计、开工建设煤矿建设项目初步设计、开工建设实行分级审批。新增生产能力90万吨/年以上的煤矿初步设计、开工建设由省能源局负责审批；新增生产能力90万吨/年及以下的煤矿初步设计、开工建设由市能源局负责审批。煤矿初步设计、开工建设审批的申请条件、申报材料、审批程序等按照原规定执行。煤矿企业申请批复初步设计和开工时需提供经原项目核准（审批）机关审核确认的产能置换方案。各市能源局批复的煤矿初步设计、开工建设文件应抄送省能源局。</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ascii="宋体" w:hAnsi="宋体" w:eastAsia="宋体" w:cs="宋体"/>
                <w:color w:val="auto"/>
                <w:kern w:val="0"/>
                <w:sz w:val="11"/>
                <w:szCs w:val="11"/>
              </w:rPr>
            </w:pPr>
            <w:r>
              <w:rPr>
                <w:rFonts w:hint="eastAsia" w:ascii="仿宋_GB2312" w:hAnsi="仿宋_GB2312" w:eastAsia="仿宋_GB2312" w:cs="仿宋_GB2312"/>
                <w:color w:val="auto"/>
                <w:sz w:val="11"/>
                <w:szCs w:val="11"/>
              </w:rPr>
              <w:t>【规范性文件】山西省能源局《关于加强生产煤矿技术改造管理工作的通知》（晋能源煤技发【2019】333号）（二）设计审批。技术改造项目设计，由煤矿报主体企业组织审查后，按照以下要求审批。1、涉及新增主副井或其它井筒调整为主副井、水平延深的技术改造项目设计，由主体企业根据山西省政务服务网公布的相应审批事项“办事指南”提交申请材料，按规定程序上报省能源局，省能源局按照有关规定批复。2、涉及煤层配采的技术改造项目按《山西省人民政府关于印发&lt;山西省减轻企业负担促进工业稳定运行若干措施&gt;的通知》（晋政发〔2015〕11号）和《山西省人民政府办公厅关于明确省属五大煤炭集团公司44座煤矿安全监管职责的通知》（晋政办函〔2018〕138号）有关规定执行。3、除省市能源局审批以外的其它项目，设计由主体企业批复，并分别抄送省、市、县能源局（煤炭行业管理部门）。</w:t>
            </w:r>
          </w:p>
        </w:tc>
        <w:tc>
          <w:tcPr>
            <w:tcW w:w="1767" w:type="dxa"/>
            <w:vAlign w:val="center"/>
          </w:tcPr>
          <w:p>
            <w:pPr>
              <w:widowControl/>
              <w:jc w:val="left"/>
              <w:textAlignment w:val="center"/>
              <w:rPr>
                <w:rFonts w:ascii="仿宋" w:hAnsi="仿宋" w:eastAsia="仿宋" w:cs="仿宋"/>
                <w:color w:val="auto"/>
                <w:szCs w:val="21"/>
              </w:rPr>
            </w:pPr>
            <w:r>
              <w:rPr>
                <w:rFonts w:hint="eastAsia" w:ascii="黑体" w:hAnsi="宋体" w:eastAsia="黑体" w:cs="黑体"/>
                <w:color w:val="auto"/>
                <w:kern w:val="0"/>
                <w:sz w:val="15"/>
                <w:szCs w:val="15"/>
              </w:rPr>
              <w:t>1.受理责任：</w:t>
            </w:r>
            <w:r>
              <w:rPr>
                <w:rStyle w:val="10"/>
                <w:rFonts w:hint="default"/>
                <w:color w:val="auto"/>
                <w:sz w:val="15"/>
                <w:szCs w:val="15"/>
              </w:rPr>
              <w:t>公示应当提交的材料，一次告知补正材料，依法受理或者不予受理（不予受理应当告知理由）。</w:t>
            </w:r>
            <w:r>
              <w:rPr>
                <w:rStyle w:val="10"/>
                <w:rFonts w:hint="default"/>
                <w:color w:val="auto"/>
                <w:sz w:val="15"/>
                <w:szCs w:val="15"/>
              </w:rPr>
              <w:br w:type="textWrapping"/>
            </w:r>
            <w:r>
              <w:rPr>
                <w:rStyle w:val="11"/>
                <w:rFonts w:hint="default"/>
                <w:color w:val="auto"/>
                <w:sz w:val="15"/>
                <w:szCs w:val="15"/>
              </w:rPr>
              <w:t>2.审查责任：</w:t>
            </w:r>
            <w:r>
              <w:rPr>
                <w:rStyle w:val="10"/>
                <w:rFonts w:hint="default"/>
                <w:color w:val="auto"/>
                <w:sz w:val="15"/>
                <w:szCs w:val="15"/>
              </w:rPr>
              <w:t>依照法律法规审核备案资料是否齐全。</w:t>
            </w:r>
            <w:r>
              <w:rPr>
                <w:rStyle w:val="10"/>
                <w:rFonts w:hint="default"/>
                <w:color w:val="auto"/>
                <w:sz w:val="15"/>
                <w:szCs w:val="15"/>
              </w:rPr>
              <w:br w:type="textWrapping"/>
            </w:r>
            <w:r>
              <w:rPr>
                <w:rStyle w:val="11"/>
                <w:rFonts w:hint="default"/>
                <w:color w:val="auto"/>
                <w:sz w:val="15"/>
                <w:szCs w:val="15"/>
              </w:rPr>
              <w:t>3.决定责任：</w:t>
            </w:r>
            <w:r>
              <w:rPr>
                <w:rStyle w:val="10"/>
                <w:rFonts w:hint="default"/>
                <w:color w:val="auto"/>
                <w:sz w:val="15"/>
                <w:szCs w:val="15"/>
              </w:rPr>
              <w:t>审核合格后依法应报送至有关部门。</w:t>
            </w:r>
            <w:r>
              <w:rPr>
                <w:rStyle w:val="10"/>
                <w:rFonts w:hint="default"/>
                <w:color w:val="auto"/>
                <w:sz w:val="15"/>
                <w:szCs w:val="15"/>
              </w:rPr>
              <w:br w:type="textWrapping"/>
            </w:r>
            <w:r>
              <w:rPr>
                <w:rStyle w:val="11"/>
                <w:rFonts w:hint="default"/>
                <w:color w:val="auto"/>
                <w:sz w:val="15"/>
                <w:szCs w:val="15"/>
              </w:rPr>
              <w:t>4.送达责任：</w:t>
            </w:r>
            <w:r>
              <w:rPr>
                <w:rStyle w:val="10"/>
                <w:rFonts w:hint="default"/>
                <w:color w:val="auto"/>
                <w:sz w:val="15"/>
                <w:szCs w:val="15"/>
              </w:rPr>
              <w:t>严格执行文书制作、送达办结操作规范。</w:t>
            </w:r>
            <w:r>
              <w:rPr>
                <w:rStyle w:val="10"/>
                <w:rFonts w:hint="default"/>
                <w:color w:val="auto"/>
                <w:sz w:val="15"/>
                <w:szCs w:val="15"/>
              </w:rPr>
              <w:br w:type="textWrapping"/>
            </w:r>
            <w:r>
              <w:rPr>
                <w:rStyle w:val="11"/>
                <w:rFonts w:hint="default"/>
                <w:color w:val="auto"/>
                <w:sz w:val="15"/>
                <w:szCs w:val="15"/>
              </w:rPr>
              <w:t>5.事后监管责任：</w:t>
            </w:r>
            <w:r>
              <w:rPr>
                <w:rStyle w:val="10"/>
                <w:rFonts w:hint="default"/>
                <w:color w:val="auto"/>
                <w:sz w:val="15"/>
                <w:szCs w:val="15"/>
              </w:rPr>
              <w:t>应依照法律法规建立监督检查的运行机制和管理制度，定期、不定期进行检查，并根据实际情况采取相关处置措施。</w:t>
            </w:r>
            <w:r>
              <w:rPr>
                <w:rStyle w:val="10"/>
                <w:rFonts w:hint="default"/>
                <w:color w:val="auto"/>
                <w:sz w:val="15"/>
                <w:szCs w:val="15"/>
              </w:rPr>
              <w:br w:type="textWrapping"/>
            </w:r>
            <w:r>
              <w:rPr>
                <w:rStyle w:val="11"/>
                <w:rFonts w:hint="default"/>
                <w:color w:val="auto"/>
                <w:sz w:val="15"/>
                <w:szCs w:val="15"/>
              </w:rPr>
              <w:t>6.其他责任：</w:t>
            </w:r>
            <w:r>
              <w:rPr>
                <w:rStyle w:val="10"/>
                <w:rFonts w:hint="default"/>
                <w:color w:val="auto"/>
                <w:sz w:val="15"/>
                <w:szCs w:val="15"/>
              </w:rPr>
              <w:t>其他法律法规规章规定应履行的责任。</w:t>
            </w:r>
          </w:p>
        </w:tc>
        <w:tc>
          <w:tcPr>
            <w:tcW w:w="4898" w:type="dxa"/>
            <w:vAlign w:val="center"/>
          </w:tcPr>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1.参照《行政许可法》第三十条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2-1.参考《行政许可法》第三十四条</w:t>
            </w:r>
          </w:p>
          <w:p>
            <w:pPr>
              <w:spacing w:beforeLines="50" w:afterLines="50"/>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2-2.《中华人民共和国矿山安全法》第八条</w:t>
            </w:r>
            <w:r>
              <w:rPr>
                <w:rFonts w:hint="eastAsia" w:ascii="仿宋_GB2312" w:hAnsi="仿宋_GB2312" w:eastAsia="仿宋_GB2312" w:cs="仿宋_GB2312"/>
                <w:color w:val="FF0000"/>
                <w:sz w:val="18"/>
                <w:szCs w:val="18"/>
                <w:lang w:val="en-US" w:eastAsia="zh-CN"/>
              </w:rPr>
              <w:t>第一款</w:t>
            </w:r>
            <w:r>
              <w:rPr>
                <w:rFonts w:hint="eastAsia" w:ascii="仿宋_GB2312" w:hAnsi="仿宋_GB2312" w:eastAsia="仿宋_GB2312" w:cs="仿宋_GB2312"/>
                <w:color w:val="auto"/>
                <w:sz w:val="18"/>
                <w:szCs w:val="18"/>
              </w:rPr>
              <w:t xml:space="preserve"> 矿山建设工程的设计文件，必须符合矿山安全规程和行业技术规范，并按照国家规定经管理矿山企业的主管部门批准;不符合矿山安全规程和行业技术规范的，不得批准</w:t>
            </w:r>
            <w:r>
              <w:rPr>
                <w:rFonts w:hint="eastAsia" w:ascii="仿宋_GB2312" w:hAnsi="仿宋_GB2312" w:eastAsia="仿宋_GB2312" w:cs="仿宋_GB2312"/>
                <w:color w:val="auto"/>
                <w:sz w:val="18"/>
                <w:szCs w:val="18"/>
                <w:lang w:eastAsia="zh-CN"/>
              </w:rPr>
              <w:t>。</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3.参照《行政许可法》第三十七条 第三十八条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4.参照《行政许可法》第三十九条 第四十四条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5-1.参照《行政许可法》 第六十条～第七十条</w:t>
            </w:r>
          </w:p>
          <w:p>
            <w:pPr>
              <w:spacing w:beforeLines="50" w:afterLines="50"/>
              <w:jc w:val="left"/>
              <w:rPr>
                <w:rFonts w:ascii="仿宋" w:hAnsi="仿宋" w:eastAsia="仿宋" w:cs="仿宋"/>
                <w:color w:val="auto"/>
                <w:szCs w:val="21"/>
              </w:rPr>
            </w:pPr>
            <w:r>
              <w:rPr>
                <w:rFonts w:hint="eastAsia" w:ascii="仿宋_GB2312" w:hAnsi="仿宋_GB2312" w:eastAsia="仿宋_GB2312" w:cs="仿宋_GB2312"/>
                <w:color w:val="auto"/>
                <w:sz w:val="18"/>
                <w:szCs w:val="18"/>
              </w:rPr>
              <w:t>5-2.同2-2</w:t>
            </w:r>
          </w:p>
        </w:tc>
        <w:tc>
          <w:tcPr>
            <w:tcW w:w="873" w:type="dxa"/>
            <w:vAlign w:val="center"/>
          </w:tcPr>
          <w:p>
            <w:pPr>
              <w:widowControl/>
              <w:jc w:val="center"/>
              <w:textAlignment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2300-Z-00</w:t>
            </w:r>
            <w:r>
              <w:rPr>
                <w:rFonts w:hint="eastAsia"/>
                <w:color w:val="auto"/>
                <w:lang w:val="en-US" w:eastAsia="zh-CN"/>
              </w:rPr>
              <w:t>2</w:t>
            </w:r>
            <w:r>
              <w:rPr>
                <w:rFonts w:hint="eastAsia"/>
                <w:color w:val="auto"/>
              </w:rPr>
              <w:t>00-140581</w:t>
            </w:r>
          </w:p>
        </w:tc>
        <w:tc>
          <w:tcPr>
            <w:tcW w:w="1113" w:type="dxa"/>
            <w:vAlign w:val="center"/>
          </w:tcPr>
          <w:p>
            <w:pPr>
              <w:widowControl/>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对重点用能单位报送的能源利用状况报告进行审查</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其他类</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【法律】《节约能源法》</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第五十四条 管理节能工作的部门应当对重点用能单位报送的能源利用状况报告进行审查。</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【地方性法规】《山西省节约能源条例》</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第二十六条 重点用能单位应当每年向相应的节能主管部门和节能监察机构报送上一年度的能源利用状况报告。</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ascii="宋体" w:hAnsi="宋体" w:eastAsia="宋体" w:cs="宋体"/>
                <w:color w:val="auto"/>
                <w:kern w:val="0"/>
                <w:sz w:val="15"/>
                <w:szCs w:val="15"/>
              </w:rPr>
            </w:pPr>
            <w:r>
              <w:rPr>
                <w:rFonts w:hint="eastAsia" w:ascii="仿宋_GB2312" w:hAnsi="仿宋_GB2312" w:eastAsia="仿宋_GB2312" w:cs="仿宋_GB2312"/>
                <w:color w:val="auto"/>
                <w:sz w:val="18"/>
                <w:szCs w:val="18"/>
              </w:rPr>
              <w:t xml:space="preserve"> </w:t>
            </w:r>
            <w:r>
              <w:rPr>
                <w:rFonts w:hint="eastAsia" w:ascii="仿宋_GB2312" w:hAnsi="仿宋_GB2312" w:eastAsia="仿宋_GB2312" w:cs="仿宋_GB2312"/>
                <w:color w:val="auto"/>
                <w:sz w:val="18"/>
                <w:szCs w:val="18"/>
                <w:lang w:val="en-US" w:eastAsia="zh-CN"/>
              </w:rPr>
              <w:t xml:space="preserve">  </w:t>
            </w:r>
            <w:r>
              <w:rPr>
                <w:rFonts w:hint="eastAsia" w:ascii="仿宋_GB2312" w:hAnsi="仿宋_GB2312" w:eastAsia="仿宋_GB2312" w:cs="仿宋_GB2312"/>
                <w:color w:val="auto"/>
                <w:sz w:val="18"/>
                <w:szCs w:val="18"/>
              </w:rPr>
              <w:t>县级以上人民政府节能主管部门应当对重点用能单位报送的能源利用状况报告进行审查。</w:t>
            </w:r>
          </w:p>
        </w:tc>
        <w:tc>
          <w:tcPr>
            <w:tcW w:w="1767" w:type="dxa"/>
            <w:vAlign w:val="center"/>
          </w:tcPr>
          <w:p>
            <w:pPr>
              <w:widowControl/>
              <w:jc w:val="left"/>
              <w:rPr>
                <w:rFonts w:hint="eastAsia"/>
                <w:color w:val="auto"/>
              </w:rPr>
            </w:pPr>
            <w:r>
              <w:rPr>
                <w:rFonts w:ascii="黑体" w:hAnsi="宋体" w:eastAsia="黑体" w:cs="黑体"/>
                <w:color w:val="auto"/>
                <w:kern w:val="0"/>
                <w:sz w:val="15"/>
                <w:szCs w:val="15"/>
              </w:rPr>
              <w:t>1.受理责任</w:t>
            </w:r>
            <w:r>
              <w:rPr>
                <w:rFonts w:hint="eastAsia" w:ascii="宋体" w:hAnsi="宋体" w:eastAsia="宋体" w:cs="宋体"/>
                <w:color w:val="auto"/>
                <w:kern w:val="0"/>
                <w:sz w:val="15"/>
                <w:szCs w:val="15"/>
              </w:rPr>
              <w:t xml:space="preserve">：公示依法 </w:t>
            </w:r>
          </w:p>
          <w:p>
            <w:pPr>
              <w:widowControl/>
              <w:jc w:val="left"/>
              <w:rPr>
                <w:rFonts w:hint="eastAsia"/>
                <w:color w:val="auto"/>
              </w:rPr>
            </w:pPr>
            <w:r>
              <w:rPr>
                <w:rFonts w:hint="eastAsia" w:ascii="宋体" w:hAnsi="宋体" w:eastAsia="宋体" w:cs="宋体"/>
                <w:color w:val="auto"/>
                <w:kern w:val="0"/>
                <w:sz w:val="15"/>
                <w:szCs w:val="15"/>
              </w:rPr>
              <w:t xml:space="preserve">应当提交的材料；一次 </w:t>
            </w:r>
          </w:p>
          <w:p>
            <w:pPr>
              <w:widowControl/>
              <w:jc w:val="left"/>
              <w:rPr>
                <w:rFonts w:hint="eastAsia"/>
                <w:color w:val="auto"/>
              </w:rPr>
            </w:pPr>
            <w:r>
              <w:rPr>
                <w:rFonts w:hint="eastAsia" w:ascii="宋体" w:hAnsi="宋体" w:eastAsia="宋体" w:cs="宋体"/>
                <w:color w:val="auto"/>
                <w:kern w:val="0"/>
                <w:sz w:val="15"/>
                <w:szCs w:val="15"/>
              </w:rPr>
              <w:t xml:space="preserve">性告知补正材料；依法 </w:t>
            </w:r>
          </w:p>
          <w:p>
            <w:pPr>
              <w:widowControl/>
              <w:jc w:val="left"/>
              <w:rPr>
                <w:rFonts w:hint="eastAsia"/>
                <w:color w:val="auto"/>
              </w:rPr>
            </w:pPr>
            <w:r>
              <w:rPr>
                <w:rFonts w:hint="eastAsia" w:ascii="宋体" w:hAnsi="宋体" w:eastAsia="宋体" w:cs="宋体"/>
                <w:color w:val="auto"/>
                <w:kern w:val="0"/>
                <w:sz w:val="15"/>
                <w:szCs w:val="15"/>
              </w:rPr>
              <w:t xml:space="preserve">受理或不予受理（不予 </w:t>
            </w:r>
          </w:p>
          <w:p>
            <w:pPr>
              <w:widowControl/>
              <w:jc w:val="left"/>
              <w:rPr>
                <w:rFonts w:hint="eastAsia"/>
                <w:color w:val="auto"/>
              </w:rPr>
            </w:pPr>
            <w:r>
              <w:rPr>
                <w:rFonts w:hint="eastAsia" w:ascii="宋体" w:hAnsi="宋体" w:eastAsia="宋体" w:cs="宋体"/>
                <w:color w:val="auto"/>
                <w:kern w:val="0"/>
                <w:sz w:val="15"/>
                <w:szCs w:val="15"/>
              </w:rPr>
              <w:t xml:space="preserve">受理应当告知理由）。 </w:t>
            </w:r>
          </w:p>
          <w:p>
            <w:pPr>
              <w:widowControl/>
              <w:jc w:val="left"/>
              <w:rPr>
                <w:rFonts w:hint="eastAsia"/>
                <w:color w:val="auto"/>
              </w:rPr>
            </w:pPr>
            <w:r>
              <w:rPr>
                <w:rFonts w:hint="eastAsia" w:ascii="黑体" w:hAnsi="宋体" w:eastAsia="黑体" w:cs="黑体"/>
                <w:color w:val="auto"/>
                <w:kern w:val="0"/>
                <w:sz w:val="15"/>
                <w:szCs w:val="15"/>
              </w:rPr>
              <w:t>2.审查责任：</w:t>
            </w:r>
            <w:r>
              <w:rPr>
                <w:rFonts w:hint="eastAsia" w:ascii="宋体" w:hAnsi="宋体" w:eastAsia="宋体" w:cs="宋体"/>
                <w:color w:val="auto"/>
                <w:kern w:val="0"/>
                <w:sz w:val="15"/>
                <w:szCs w:val="15"/>
              </w:rPr>
              <w:t xml:space="preserve">对重点用 </w:t>
            </w:r>
          </w:p>
          <w:p>
            <w:pPr>
              <w:widowControl/>
              <w:jc w:val="left"/>
              <w:rPr>
                <w:rFonts w:hint="eastAsia"/>
                <w:color w:val="auto"/>
              </w:rPr>
            </w:pPr>
            <w:r>
              <w:rPr>
                <w:rFonts w:hint="eastAsia" w:ascii="宋体" w:hAnsi="宋体" w:eastAsia="宋体" w:cs="宋体"/>
                <w:color w:val="auto"/>
                <w:kern w:val="0"/>
                <w:sz w:val="15"/>
                <w:szCs w:val="15"/>
              </w:rPr>
              <w:t xml:space="preserve">能单位报送的能源利用 </w:t>
            </w:r>
          </w:p>
          <w:p>
            <w:pPr>
              <w:widowControl/>
              <w:jc w:val="left"/>
              <w:rPr>
                <w:rFonts w:hint="eastAsia"/>
                <w:color w:val="auto"/>
              </w:rPr>
            </w:pPr>
            <w:r>
              <w:rPr>
                <w:rFonts w:hint="eastAsia" w:ascii="宋体" w:hAnsi="宋体" w:eastAsia="宋体" w:cs="宋体"/>
                <w:color w:val="auto"/>
                <w:kern w:val="0"/>
                <w:sz w:val="15"/>
                <w:szCs w:val="15"/>
              </w:rPr>
              <w:t xml:space="preserve">状况报告进行审查。 </w:t>
            </w:r>
          </w:p>
          <w:p>
            <w:pPr>
              <w:widowControl/>
              <w:jc w:val="left"/>
              <w:rPr>
                <w:rFonts w:hint="eastAsia"/>
                <w:color w:val="auto"/>
              </w:rPr>
            </w:pPr>
            <w:r>
              <w:rPr>
                <w:rFonts w:hint="eastAsia" w:ascii="黑体" w:hAnsi="宋体" w:eastAsia="黑体" w:cs="黑体"/>
                <w:color w:val="auto"/>
                <w:kern w:val="0"/>
                <w:sz w:val="15"/>
                <w:szCs w:val="15"/>
              </w:rPr>
              <w:t>3.通告责任：</w:t>
            </w:r>
            <w:r>
              <w:rPr>
                <w:rFonts w:hint="eastAsia" w:ascii="宋体" w:hAnsi="宋体" w:eastAsia="宋体" w:cs="宋体"/>
                <w:color w:val="auto"/>
                <w:kern w:val="0"/>
                <w:sz w:val="15"/>
                <w:szCs w:val="15"/>
              </w:rPr>
              <w:t xml:space="preserve">将审核结 </w:t>
            </w:r>
          </w:p>
          <w:p>
            <w:pPr>
              <w:widowControl/>
              <w:jc w:val="left"/>
              <w:rPr>
                <w:rFonts w:hint="eastAsia"/>
                <w:color w:val="auto"/>
              </w:rPr>
            </w:pPr>
            <w:r>
              <w:rPr>
                <w:rFonts w:hint="eastAsia" w:ascii="宋体" w:hAnsi="宋体" w:eastAsia="宋体" w:cs="宋体"/>
                <w:color w:val="auto"/>
                <w:kern w:val="0"/>
                <w:sz w:val="15"/>
                <w:szCs w:val="15"/>
              </w:rPr>
              <w:t xml:space="preserve">果进行通告。 </w:t>
            </w:r>
          </w:p>
          <w:p>
            <w:pPr>
              <w:widowControl/>
              <w:jc w:val="left"/>
              <w:rPr>
                <w:rFonts w:hint="eastAsia"/>
                <w:color w:val="auto"/>
              </w:rPr>
            </w:pPr>
            <w:r>
              <w:rPr>
                <w:rFonts w:hint="eastAsia" w:ascii="黑体" w:hAnsi="宋体" w:eastAsia="黑体" w:cs="黑体"/>
                <w:color w:val="auto"/>
                <w:kern w:val="0"/>
                <w:sz w:val="15"/>
                <w:szCs w:val="15"/>
              </w:rPr>
              <w:t>4.其他：</w:t>
            </w:r>
            <w:r>
              <w:rPr>
                <w:rFonts w:hint="eastAsia" w:ascii="宋体" w:hAnsi="宋体" w:eastAsia="宋体" w:cs="宋体"/>
                <w:color w:val="auto"/>
                <w:kern w:val="0"/>
                <w:sz w:val="15"/>
                <w:szCs w:val="15"/>
              </w:rPr>
              <w:t xml:space="preserve">法律法规规章 </w:t>
            </w:r>
          </w:p>
          <w:p>
            <w:pPr>
              <w:widowControl/>
              <w:jc w:val="left"/>
              <w:rPr>
                <w:rFonts w:hint="eastAsia"/>
                <w:color w:val="auto"/>
              </w:rPr>
            </w:pPr>
            <w:r>
              <w:rPr>
                <w:rFonts w:hint="eastAsia" w:ascii="宋体" w:hAnsi="宋体" w:eastAsia="宋体" w:cs="宋体"/>
                <w:color w:val="auto"/>
                <w:kern w:val="0"/>
                <w:sz w:val="15"/>
                <w:szCs w:val="15"/>
              </w:rPr>
              <w:t>规定应履行的责任。</w:t>
            </w:r>
          </w:p>
          <w:p>
            <w:pPr>
              <w:widowControl/>
              <w:jc w:val="left"/>
              <w:textAlignment w:val="center"/>
              <w:rPr>
                <w:rFonts w:ascii="仿宋" w:hAnsi="仿宋" w:eastAsia="仿宋" w:cs="仿宋"/>
                <w:color w:val="auto"/>
                <w:szCs w:val="21"/>
              </w:rPr>
            </w:pPr>
          </w:p>
        </w:tc>
        <w:tc>
          <w:tcPr>
            <w:tcW w:w="4898" w:type="dxa"/>
            <w:vAlign w:val="center"/>
          </w:tcPr>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1.参照《行政许可法》第三十条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2-1.参照《行政许可法》第三十四条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2-2.《节约能源法》第五十四条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3.《山西省节约能源条例》第二十六条 重点用能单位应当每年向相应的节能主管部门和节能监察机构报送上一年度的能源利用状况报告。</w:t>
            </w:r>
          </w:p>
          <w:p>
            <w:pPr>
              <w:spacing w:beforeLines="50" w:afterLines="50"/>
              <w:jc w:val="left"/>
              <w:rPr>
                <w:rFonts w:ascii="仿宋" w:hAnsi="仿宋" w:eastAsia="仿宋" w:cs="仿宋"/>
                <w:color w:val="auto"/>
                <w:szCs w:val="21"/>
              </w:rPr>
            </w:pPr>
            <w:r>
              <w:rPr>
                <w:rFonts w:hint="eastAsia" w:ascii="仿宋_GB2312" w:hAnsi="仿宋_GB2312" w:eastAsia="仿宋_GB2312" w:cs="仿宋_GB2312"/>
                <w:color w:val="auto"/>
                <w:sz w:val="18"/>
                <w:szCs w:val="18"/>
              </w:rPr>
              <w:t xml:space="preserve"> 县级以上人民政府节能主管部门应当对重点用能单位报送的能源利用状况报告进行审查。</w:t>
            </w:r>
          </w:p>
        </w:tc>
        <w:tc>
          <w:tcPr>
            <w:tcW w:w="873" w:type="dxa"/>
            <w:vAlign w:val="center"/>
          </w:tcPr>
          <w:p>
            <w:pPr>
              <w:widowControl/>
              <w:jc w:val="center"/>
              <w:textAlignment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2300-Z-00</w:t>
            </w:r>
            <w:r>
              <w:rPr>
                <w:rFonts w:hint="eastAsia"/>
                <w:color w:val="auto"/>
                <w:lang w:val="en-US" w:eastAsia="zh-CN"/>
              </w:rPr>
              <w:t>3</w:t>
            </w:r>
            <w:r>
              <w:rPr>
                <w:rFonts w:hint="eastAsia"/>
                <w:color w:val="auto"/>
              </w:rPr>
              <w:t>00-140581</w:t>
            </w:r>
          </w:p>
        </w:tc>
        <w:tc>
          <w:tcPr>
            <w:tcW w:w="1113" w:type="dxa"/>
            <w:vAlign w:val="center"/>
          </w:tcPr>
          <w:p>
            <w:pPr>
              <w:widowControl/>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重点用能单位能源管理人员备案</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其他类</w:t>
            </w:r>
          </w:p>
        </w:tc>
        <w:tc>
          <w:tcPr>
            <w:tcW w:w="1910" w:type="dxa"/>
            <w:vAlign w:val="center"/>
          </w:tcPr>
          <w:p>
            <w:pPr>
              <w:spacing w:beforeLines="50" w:afterLines="50" w:line="240" w:lineRule="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【法律】《节约能源法》</w:t>
            </w:r>
          </w:p>
          <w:p>
            <w:pPr>
              <w:spacing w:beforeLines="50" w:afterLines="50" w:line="240" w:lineRule="auto"/>
              <w:rPr>
                <w:rFonts w:ascii="宋体" w:hAnsi="宋体" w:eastAsia="宋体" w:cs="宋体"/>
                <w:color w:val="auto"/>
                <w:kern w:val="0"/>
                <w:sz w:val="15"/>
                <w:szCs w:val="15"/>
              </w:rPr>
            </w:pPr>
            <w:r>
              <w:rPr>
                <w:rFonts w:hint="eastAsia" w:ascii="仿宋_GB2312" w:hAnsi="仿宋_GB2312" w:eastAsia="仿宋_GB2312" w:cs="仿宋_GB2312"/>
                <w:color w:val="auto"/>
                <w:sz w:val="18"/>
                <w:szCs w:val="18"/>
              </w:rPr>
              <w:t xml:space="preserve"> 第五十五条 重点用能单位应当设立能源管理岗位，在具有节能专业知识、实际经验以及中级以上技术职称的人员中聘任能源管理负责人，并报管理节能工作的部门和有关部门备案。</w:t>
            </w:r>
          </w:p>
        </w:tc>
        <w:tc>
          <w:tcPr>
            <w:tcW w:w="1767" w:type="dxa"/>
            <w:vAlign w:val="center"/>
          </w:tcPr>
          <w:p>
            <w:pPr>
              <w:spacing w:beforeLines="50" w:afterLines="50" w:line="240" w:lineRule="exact"/>
              <w:jc w:val="lef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1.受理责任：公示应当提交的材料，一次告知补正材料，依法受理或者不予受理（不予受理应当告知理由）。</w:t>
            </w:r>
          </w:p>
          <w:p>
            <w:pPr>
              <w:spacing w:beforeLines="50" w:afterLines="50" w:line="240" w:lineRule="exact"/>
              <w:jc w:val="lef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2.审查责任：依照法律法规审核备案资料是否齐全。</w:t>
            </w:r>
          </w:p>
          <w:p>
            <w:pPr>
              <w:spacing w:beforeLines="50" w:afterLines="50" w:line="240" w:lineRule="exact"/>
              <w:jc w:val="lef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3.决定责任：审核合格后依法应报送至有关部门。</w:t>
            </w:r>
          </w:p>
          <w:p>
            <w:pPr>
              <w:spacing w:beforeLines="50" w:afterLines="50" w:line="240" w:lineRule="exact"/>
              <w:jc w:val="lef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4.送达责任：严格执行文书制作、送达办结操作规范。</w:t>
            </w:r>
          </w:p>
          <w:p>
            <w:pPr>
              <w:spacing w:beforeLines="50" w:afterLines="50" w:line="240" w:lineRule="exact"/>
              <w:jc w:val="left"/>
              <w:rPr>
                <w:rFonts w:ascii="仿宋_GB2312" w:hAnsi="仿宋_GB2312" w:eastAsia="仿宋_GB2312" w:cs="仿宋_GB2312"/>
                <w:color w:val="auto"/>
                <w:sz w:val="13"/>
                <w:szCs w:val="13"/>
              </w:rPr>
            </w:pPr>
            <w:r>
              <w:rPr>
                <w:rFonts w:hint="eastAsia" w:ascii="仿宋_GB2312" w:hAnsi="仿宋_GB2312" w:eastAsia="仿宋_GB2312" w:cs="仿宋_GB2312"/>
                <w:color w:val="auto"/>
                <w:sz w:val="13"/>
                <w:szCs w:val="13"/>
              </w:rPr>
              <w:t>5.事后监管责任：应依照法律法规建立监督检查的运行机制和管理制度，定期、不定期进行检查，并根据实际情况采取相关处置措施。</w:t>
            </w:r>
          </w:p>
          <w:p>
            <w:pPr>
              <w:spacing w:beforeLines="50" w:afterLines="50" w:line="240" w:lineRule="exact"/>
              <w:jc w:val="left"/>
              <w:rPr>
                <w:rFonts w:ascii="仿宋" w:hAnsi="仿宋" w:eastAsia="仿宋" w:cs="仿宋"/>
                <w:color w:val="auto"/>
                <w:szCs w:val="21"/>
              </w:rPr>
            </w:pPr>
            <w:r>
              <w:rPr>
                <w:rFonts w:hint="eastAsia" w:ascii="仿宋_GB2312" w:hAnsi="仿宋_GB2312" w:eastAsia="仿宋_GB2312" w:cs="仿宋_GB2312"/>
                <w:color w:val="auto"/>
                <w:sz w:val="13"/>
                <w:szCs w:val="13"/>
              </w:rPr>
              <w:t>6.其他责任：其他法律法规规章规定应履行的责任。</w:t>
            </w:r>
          </w:p>
        </w:tc>
        <w:tc>
          <w:tcPr>
            <w:tcW w:w="4898" w:type="dxa"/>
            <w:vAlign w:val="center"/>
          </w:tcPr>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1-1.参照《行政许可法》第三十条</w:t>
            </w:r>
          </w:p>
          <w:p>
            <w:pPr>
              <w:spacing w:beforeLines="50" w:afterLines="50"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1-2.《节约能源法》</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第五十五条 重点用能单位应当设立能源管理岗位，在具有节能专业知识、实际经验以及中级以上技术职称的人员中聘任能源管理负责人，并报管理节能工作的部门和有关部门备案。</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2-1.参照《行政许可法》第三十四条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3-1.参照《行政许可法》第三十七条 第三十八</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4-1.参照《行政许可法》第三十九条 第四十四</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5-1.参照《行政许可法》第六十条～第七十条</w:t>
            </w:r>
          </w:p>
          <w:p>
            <w:pPr>
              <w:spacing w:beforeLines="50" w:afterLines="50"/>
              <w:jc w:val="left"/>
              <w:rPr>
                <w:rFonts w:ascii="仿宋" w:hAnsi="仿宋" w:eastAsia="仿宋" w:cs="仿宋"/>
                <w:color w:val="auto"/>
                <w:szCs w:val="21"/>
              </w:rPr>
            </w:pPr>
          </w:p>
        </w:tc>
        <w:tc>
          <w:tcPr>
            <w:tcW w:w="873" w:type="dxa"/>
            <w:vAlign w:val="center"/>
          </w:tcPr>
          <w:p>
            <w:pPr>
              <w:widowControl/>
              <w:jc w:val="center"/>
              <w:textAlignment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ascii="仿宋" w:hAnsi="仿宋" w:eastAsia="仿宋" w:cs="仿宋"/>
                <w:color w:val="auto"/>
                <w:szCs w:val="21"/>
              </w:rPr>
            </w:pPr>
            <w:r>
              <w:rPr>
                <w:rFonts w:hint="eastAsia"/>
                <w:color w:val="auto"/>
              </w:rPr>
              <w:t>2300-Z-00</w:t>
            </w:r>
            <w:r>
              <w:rPr>
                <w:rFonts w:hint="eastAsia"/>
                <w:color w:val="auto"/>
                <w:lang w:val="en-US" w:eastAsia="zh-CN"/>
              </w:rPr>
              <w:t>4</w:t>
            </w:r>
            <w:r>
              <w:rPr>
                <w:rFonts w:hint="eastAsia"/>
                <w:color w:val="auto"/>
              </w:rPr>
              <w:t>00-140581</w:t>
            </w:r>
          </w:p>
        </w:tc>
        <w:tc>
          <w:tcPr>
            <w:tcW w:w="1113" w:type="dxa"/>
            <w:vAlign w:val="center"/>
          </w:tcPr>
          <w:p>
            <w:pPr>
              <w:widowControl/>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电力需求侧管理专项基金申请初审上报</w:t>
            </w:r>
          </w:p>
        </w:tc>
        <w:tc>
          <w:tcPr>
            <w:tcW w:w="1058" w:type="dxa"/>
            <w:vAlign w:val="center"/>
          </w:tcPr>
          <w:p>
            <w:pPr>
              <w:spacing w:beforeLines="50" w:afterLines="50"/>
              <w:jc w:val="center"/>
              <w:rPr>
                <w:rFonts w:ascii="仿宋_GB2312" w:hAnsi="仿宋_GB2312" w:eastAsia="仿宋_GB2312" w:cs="仿宋_GB2312"/>
                <w:color w:val="auto"/>
                <w:sz w:val="18"/>
                <w:szCs w:val="18"/>
              </w:rPr>
            </w:pPr>
          </w:p>
        </w:tc>
        <w:tc>
          <w:tcPr>
            <w:tcW w:w="1277"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高平市能源局</w:t>
            </w:r>
          </w:p>
        </w:tc>
        <w:tc>
          <w:tcPr>
            <w:tcW w:w="850" w:type="dxa"/>
            <w:vAlign w:val="center"/>
          </w:tcPr>
          <w:p>
            <w:pPr>
              <w:spacing w:beforeLines="50" w:afterLine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其他类</w:t>
            </w:r>
          </w:p>
        </w:tc>
        <w:tc>
          <w:tcPr>
            <w:tcW w:w="1910" w:type="dxa"/>
            <w:vAlign w:val="center"/>
          </w:tcPr>
          <w:p>
            <w:pPr>
              <w:spacing w:beforeLines="50" w:afterLines="50" w:line="240" w:lineRule="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【地方性法规】《山西省电力需求侧管理专项基金管理办法》 第四条 县级以上人民政府电力运行主管部门负责本行政区域内的电力需求侧管理工作，县级以上人民政府其他有关部门在各自职责范围内负责相关工作。</w:t>
            </w:r>
          </w:p>
          <w:p>
            <w:pPr>
              <w:spacing w:beforeLines="50" w:afterLines="50" w:line="240" w:lineRule="auto"/>
              <w:rPr>
                <w:rFonts w:ascii="宋体" w:hAnsi="宋体" w:eastAsia="宋体" w:cs="宋体"/>
                <w:color w:val="auto"/>
                <w:kern w:val="0"/>
                <w:sz w:val="15"/>
                <w:szCs w:val="15"/>
              </w:rPr>
            </w:pPr>
            <w:r>
              <w:rPr>
                <w:rFonts w:hint="eastAsia" w:ascii="仿宋_GB2312" w:hAnsi="仿宋_GB2312" w:eastAsia="仿宋_GB2312" w:cs="仿宋_GB2312"/>
                <w:color w:val="auto"/>
                <w:sz w:val="18"/>
                <w:szCs w:val="18"/>
              </w:rPr>
              <w:t>【规范性文件】《电力需求侧管理办法》（发改运行[2010]2643号） 第五条 县级以上人民政府电力运行主管部门负责本行政区域内的电力需求侧管理工作，县级以上人民政府其他有关部门在各自职责范围内负责相关工作。</w:t>
            </w:r>
          </w:p>
        </w:tc>
        <w:tc>
          <w:tcPr>
            <w:tcW w:w="1767" w:type="dxa"/>
            <w:vAlign w:val="center"/>
          </w:tcPr>
          <w:p>
            <w:pPr>
              <w:spacing w:beforeLines="50" w:afterLines="50"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1.受理责任：公示应当提交的材料，一次告知补正材料，依法受理或者不予受理（不予受理应当告知理由）。</w:t>
            </w:r>
          </w:p>
          <w:p>
            <w:pPr>
              <w:spacing w:beforeLines="50" w:afterLines="50"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2.审查责任：依照法律法规审核备案资料是否齐全。</w:t>
            </w:r>
          </w:p>
          <w:p>
            <w:pPr>
              <w:spacing w:beforeLines="50" w:afterLines="50"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3.决定责任：审核合格后依法应报送至有关部门。</w:t>
            </w:r>
          </w:p>
          <w:p>
            <w:pPr>
              <w:spacing w:beforeLines="50" w:afterLines="50"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4.送达责任：严格执行文书制作、送达办结操作规范。</w:t>
            </w:r>
          </w:p>
          <w:p>
            <w:pPr>
              <w:spacing w:beforeLines="50" w:afterLines="50"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5.事后监管责任：应依照法律法规建立监督检查的运行机制和管理制度，定期、不定期进行检查，并根据实际情况采取相关处置措施。</w:t>
            </w:r>
          </w:p>
          <w:p>
            <w:pPr>
              <w:spacing w:beforeLines="50" w:afterLines="50" w:line="240" w:lineRule="exact"/>
              <w:jc w:val="left"/>
              <w:rPr>
                <w:rFonts w:ascii="仿宋" w:hAnsi="仿宋" w:eastAsia="仿宋" w:cs="仿宋"/>
                <w:color w:val="auto"/>
                <w:szCs w:val="21"/>
              </w:rPr>
            </w:pPr>
            <w:r>
              <w:rPr>
                <w:rFonts w:hint="eastAsia" w:ascii="仿宋_GB2312" w:hAnsi="仿宋_GB2312" w:eastAsia="仿宋_GB2312" w:cs="仿宋_GB2312"/>
                <w:color w:val="auto"/>
                <w:sz w:val="18"/>
                <w:szCs w:val="18"/>
              </w:rPr>
              <w:t>6.其他责任：其他法律法规规章规定应履行的责任。</w:t>
            </w:r>
          </w:p>
        </w:tc>
        <w:tc>
          <w:tcPr>
            <w:tcW w:w="4898" w:type="dxa"/>
            <w:vAlign w:val="center"/>
          </w:tcPr>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1-1.参照《行政许可法》第三十条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1-2.《电力需求侧管理办法》（发改运行[2010]2643号）第五条第二款 县级以上人民政府电力运行主管部门负责本行政区域内的电力需求侧管理工作，县级以上人民政府其他有关部门在各自职责范围内负责相关工作。</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2-1.参照《行政许可法》第三十四条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2-2.《山西省电力需求侧管理专项基金管理办法》第四条第二款 县级以上人民政府电力运行主管部门负责本行政区域内的电力需求侧管理工作，县级以上人民政府其他有关部门在各自职责范围内负责相关工作。</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第十五条 电力需求侧管理项目申报程序：中央和省属企业，由项目单位提出申请，主管部门审核后上报省经信委和省财政厅；市、县属及以下企业，由项目单位提出申请，市、县经信、财政部门审核后，逐级报送省经信委和省财政厅。</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3.参照《行政许可法》第三十七条 第三十八条</w:t>
            </w:r>
          </w:p>
          <w:p>
            <w:pPr>
              <w:spacing w:beforeLines="50" w:afterLines="5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4.参照《行政许可法》第三十九条</w:t>
            </w:r>
          </w:p>
          <w:p>
            <w:pPr>
              <w:spacing w:beforeLines="50" w:afterLines="50"/>
              <w:jc w:val="left"/>
              <w:rPr>
                <w:rFonts w:ascii="仿宋" w:hAnsi="仿宋" w:eastAsia="仿宋" w:cs="仿宋"/>
                <w:color w:val="auto"/>
                <w:szCs w:val="21"/>
              </w:rPr>
            </w:pPr>
            <w:r>
              <w:rPr>
                <w:rFonts w:hint="eastAsia" w:ascii="仿宋_GB2312" w:hAnsi="仿宋_GB2312" w:eastAsia="仿宋_GB2312" w:cs="仿宋_GB2312"/>
                <w:color w:val="auto"/>
                <w:sz w:val="18"/>
                <w:szCs w:val="18"/>
              </w:rPr>
              <w:t>5.参照《行政许可法》第六十条～第七十条</w:t>
            </w:r>
          </w:p>
        </w:tc>
        <w:tc>
          <w:tcPr>
            <w:tcW w:w="873" w:type="dxa"/>
            <w:vAlign w:val="center"/>
          </w:tcPr>
          <w:p>
            <w:pPr>
              <w:widowControl/>
              <w:jc w:val="center"/>
              <w:textAlignment w:val="center"/>
              <w:rPr>
                <w:rFonts w:ascii="仿宋" w:hAnsi="仿宋" w:eastAsia="仿宋" w:cs="仿宋"/>
                <w:color w:val="auto"/>
                <w:szCs w:val="21"/>
              </w:rPr>
            </w:pPr>
          </w:p>
        </w:tc>
      </w:tr>
    </w:tbl>
    <w:p>
      <w:pPr>
        <w:spacing w:beforeLines="50" w:afterLines="50"/>
        <w:rPr>
          <w:rFonts w:ascii="仿宋" w:hAnsi="仿宋" w:eastAsia="仿宋" w:cs="仿宋"/>
          <w:color w:val="auto"/>
          <w:sz w:val="18"/>
          <w:szCs w:val="18"/>
        </w:rPr>
      </w:pPr>
    </w:p>
    <w:sectPr>
      <w:footerReference r:id="rId3"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fldChar w:fldCharType="begin"/>
                          </w:r>
                          <w:r>
                            <w:instrText xml:space="preserve"> PAGE  \* MERGEFORMAT </w:instrText>
                          </w:r>
                          <w: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rPr>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0F5E95"/>
    <w:rsid w:val="00345CF1"/>
    <w:rsid w:val="0041730C"/>
    <w:rsid w:val="00521A26"/>
    <w:rsid w:val="00642FE3"/>
    <w:rsid w:val="006C3B6A"/>
    <w:rsid w:val="00763DFB"/>
    <w:rsid w:val="00791149"/>
    <w:rsid w:val="007B463E"/>
    <w:rsid w:val="007E6069"/>
    <w:rsid w:val="009C0400"/>
    <w:rsid w:val="009C786F"/>
    <w:rsid w:val="00D87A85"/>
    <w:rsid w:val="021C381F"/>
    <w:rsid w:val="05FC4DAD"/>
    <w:rsid w:val="060267E3"/>
    <w:rsid w:val="08895199"/>
    <w:rsid w:val="08AB2B67"/>
    <w:rsid w:val="0A25382C"/>
    <w:rsid w:val="0A332963"/>
    <w:rsid w:val="0AF12CCB"/>
    <w:rsid w:val="0CF54410"/>
    <w:rsid w:val="0D004DF6"/>
    <w:rsid w:val="0D7526FE"/>
    <w:rsid w:val="1020092E"/>
    <w:rsid w:val="103E2CFA"/>
    <w:rsid w:val="12567478"/>
    <w:rsid w:val="125A0D38"/>
    <w:rsid w:val="13980634"/>
    <w:rsid w:val="183F17F4"/>
    <w:rsid w:val="18B93210"/>
    <w:rsid w:val="19246D3D"/>
    <w:rsid w:val="1E646248"/>
    <w:rsid w:val="1E725A49"/>
    <w:rsid w:val="1EDB5060"/>
    <w:rsid w:val="1F25484A"/>
    <w:rsid w:val="212313D5"/>
    <w:rsid w:val="23C84A46"/>
    <w:rsid w:val="24124AAD"/>
    <w:rsid w:val="249F7CB5"/>
    <w:rsid w:val="262F31A9"/>
    <w:rsid w:val="266F0A56"/>
    <w:rsid w:val="2784739F"/>
    <w:rsid w:val="27D809F1"/>
    <w:rsid w:val="298919D7"/>
    <w:rsid w:val="29A36C67"/>
    <w:rsid w:val="29A869F9"/>
    <w:rsid w:val="2A381ADA"/>
    <w:rsid w:val="2B5E0D62"/>
    <w:rsid w:val="2BE62454"/>
    <w:rsid w:val="2D790785"/>
    <w:rsid w:val="2F0E02E2"/>
    <w:rsid w:val="2F8C7B67"/>
    <w:rsid w:val="319035ED"/>
    <w:rsid w:val="3248729C"/>
    <w:rsid w:val="392836BF"/>
    <w:rsid w:val="3AB024AC"/>
    <w:rsid w:val="3B4F5577"/>
    <w:rsid w:val="3BA47A59"/>
    <w:rsid w:val="3BE977ED"/>
    <w:rsid w:val="3D2B7039"/>
    <w:rsid w:val="3D6745F7"/>
    <w:rsid w:val="3EB77514"/>
    <w:rsid w:val="41766FA2"/>
    <w:rsid w:val="43DB2A4B"/>
    <w:rsid w:val="44F6072E"/>
    <w:rsid w:val="461F2071"/>
    <w:rsid w:val="468220CC"/>
    <w:rsid w:val="469E4BF6"/>
    <w:rsid w:val="492B41D9"/>
    <w:rsid w:val="4A7062D5"/>
    <w:rsid w:val="4B2777DB"/>
    <w:rsid w:val="4C65646E"/>
    <w:rsid w:val="4CBE63DB"/>
    <w:rsid w:val="4D701735"/>
    <w:rsid w:val="522C6C3C"/>
    <w:rsid w:val="556F7654"/>
    <w:rsid w:val="55B55987"/>
    <w:rsid w:val="55E37B04"/>
    <w:rsid w:val="567752FE"/>
    <w:rsid w:val="571D0276"/>
    <w:rsid w:val="573166AD"/>
    <w:rsid w:val="576164DF"/>
    <w:rsid w:val="59A802AB"/>
    <w:rsid w:val="5E7F030A"/>
    <w:rsid w:val="5F3E4699"/>
    <w:rsid w:val="61077D6B"/>
    <w:rsid w:val="61694449"/>
    <w:rsid w:val="622C2A6B"/>
    <w:rsid w:val="6AA443AA"/>
    <w:rsid w:val="6B8126BD"/>
    <w:rsid w:val="6C531853"/>
    <w:rsid w:val="6C8522EC"/>
    <w:rsid w:val="6CC754CA"/>
    <w:rsid w:val="6CD952A2"/>
    <w:rsid w:val="6E824D44"/>
    <w:rsid w:val="70980E0B"/>
    <w:rsid w:val="72C01A48"/>
    <w:rsid w:val="76643521"/>
    <w:rsid w:val="76F068E4"/>
    <w:rsid w:val="799B0ED9"/>
    <w:rsid w:val="79D4046E"/>
    <w:rsid w:val="7BB12690"/>
    <w:rsid w:val="7CF70502"/>
    <w:rsid w:val="7D5F6AAB"/>
    <w:rsid w:val="7E1F1D2C"/>
    <w:rsid w:val="7E963E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font01"/>
    <w:basedOn w:val="8"/>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64881</Words>
  <Characters>67061</Characters>
  <Lines>582</Lines>
  <Paragraphs>163</Paragraphs>
  <TotalTime>9</TotalTime>
  <ScaleCrop>false</ScaleCrop>
  <LinksUpToDate>false</LinksUpToDate>
  <CharactersWithSpaces>67923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wh</cp:lastModifiedBy>
  <cp:lastPrinted>2019-08-29T07:55:00Z</cp:lastPrinted>
  <dcterms:modified xsi:type="dcterms:W3CDTF">2021-10-26T08:40:32Z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2F6FB89BA3E74559BBA390A99C9EB15C</vt:lpwstr>
  </property>
</Properties>
</file>