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楷体" w:hAnsi="楷体" w:eastAsia="楷体" w:cs="楷体"/>
          <w:b/>
          <w:bCs/>
          <w:sz w:val="28"/>
          <w:szCs w:val="28"/>
          <w:lang w:val="en-US" w:eastAsia="zh-CN"/>
        </w:rPr>
      </w:pPr>
    </w:p>
    <w:p>
      <w:pPr>
        <w:jc w:val="center"/>
        <w:rPr>
          <w:rFonts w:hint="eastAsia" w:ascii="华文行楷" w:hAnsi="华文行楷" w:eastAsia="华文行楷" w:cs="华文行楷"/>
          <w:b w:val="0"/>
          <w:bCs w:val="0"/>
          <w:sz w:val="72"/>
          <w:szCs w:val="72"/>
          <w:lang w:val="en-US" w:eastAsia="zh-CN"/>
        </w:rPr>
      </w:pPr>
      <w:r>
        <w:rPr>
          <w:rFonts w:hint="eastAsia" w:ascii="华文行楷" w:hAnsi="华文行楷" w:eastAsia="华文行楷" w:cs="华文行楷"/>
          <w:b w:val="0"/>
          <w:bCs w:val="0"/>
          <w:sz w:val="72"/>
          <w:szCs w:val="72"/>
          <w:lang w:val="en-US" w:eastAsia="zh-CN"/>
        </w:rPr>
        <w:t>高平市民办养老服务业</w:t>
      </w:r>
    </w:p>
    <w:p>
      <w:pPr>
        <w:jc w:val="center"/>
        <w:rPr>
          <w:rFonts w:hint="eastAsia" w:ascii="华文行楷" w:hAnsi="华文行楷" w:eastAsia="华文行楷" w:cs="华文行楷"/>
          <w:b w:val="0"/>
          <w:bCs w:val="0"/>
          <w:sz w:val="72"/>
          <w:szCs w:val="72"/>
          <w:lang w:val="en-US" w:eastAsia="zh-CN"/>
        </w:rPr>
      </w:pPr>
      <w:r>
        <w:rPr>
          <w:rFonts w:hint="eastAsia" w:ascii="华文行楷" w:hAnsi="华文行楷" w:eastAsia="华文行楷" w:cs="华文行楷"/>
          <w:b w:val="0"/>
          <w:bCs w:val="0"/>
          <w:sz w:val="72"/>
          <w:szCs w:val="72"/>
          <w:lang w:val="en-US" w:eastAsia="zh-CN"/>
        </w:rPr>
        <w:t>项目贷款财政贴息政策</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华文行楷" w:hAnsi="华文行楷" w:eastAsia="华文行楷" w:cs="华文行楷"/>
          <w:b w:val="0"/>
          <w:bCs w:val="0"/>
          <w:sz w:val="72"/>
          <w:szCs w:val="72"/>
          <w:lang w:val="en-US" w:eastAsia="zh-CN"/>
        </w:rPr>
      </w:pPr>
    </w:p>
    <w:p>
      <w:pPr>
        <w:jc w:val="center"/>
        <w:rPr>
          <w:rFonts w:hint="eastAsia" w:ascii="华文行楷" w:hAnsi="华文行楷" w:eastAsia="华文行楷" w:cs="华文行楷"/>
          <w:b w:val="0"/>
          <w:bCs w:val="0"/>
          <w:sz w:val="100"/>
          <w:szCs w:val="72"/>
          <w:lang w:val="en-US" w:eastAsia="zh-CN"/>
        </w:rPr>
      </w:pPr>
      <w:r>
        <w:rPr>
          <w:rFonts w:hint="eastAsia" w:ascii="华文行楷" w:hAnsi="华文行楷" w:eastAsia="华文行楷" w:cs="华文行楷"/>
          <w:b w:val="0"/>
          <w:bCs w:val="0"/>
          <w:sz w:val="100"/>
          <w:szCs w:val="72"/>
          <w:lang w:val="en-US" w:eastAsia="zh-CN"/>
        </w:rPr>
        <w:t>咨</w:t>
      </w:r>
    </w:p>
    <w:p>
      <w:pPr>
        <w:jc w:val="center"/>
        <w:rPr>
          <w:rFonts w:hint="eastAsia" w:ascii="华文行楷" w:hAnsi="华文行楷" w:eastAsia="华文行楷" w:cs="华文行楷"/>
          <w:b w:val="0"/>
          <w:bCs w:val="0"/>
          <w:sz w:val="100"/>
          <w:szCs w:val="72"/>
          <w:lang w:val="en-US" w:eastAsia="zh-CN"/>
        </w:rPr>
      </w:pPr>
      <w:r>
        <w:rPr>
          <w:rFonts w:hint="eastAsia" w:ascii="华文行楷" w:hAnsi="华文行楷" w:eastAsia="华文行楷" w:cs="华文行楷"/>
          <w:b w:val="0"/>
          <w:bCs w:val="0"/>
          <w:sz w:val="100"/>
          <w:szCs w:val="72"/>
          <w:lang w:val="en-US" w:eastAsia="zh-CN"/>
        </w:rPr>
        <w:t>询</w:t>
      </w:r>
    </w:p>
    <w:p>
      <w:pPr>
        <w:jc w:val="center"/>
        <w:rPr>
          <w:rFonts w:hint="eastAsia" w:ascii="华文行楷" w:hAnsi="华文行楷" w:eastAsia="华文行楷" w:cs="华文行楷"/>
          <w:b w:val="0"/>
          <w:bCs w:val="0"/>
          <w:sz w:val="100"/>
          <w:szCs w:val="72"/>
          <w:lang w:val="en-US" w:eastAsia="zh-CN"/>
        </w:rPr>
      </w:pPr>
      <w:r>
        <w:rPr>
          <w:rFonts w:hint="eastAsia" w:ascii="华文行楷" w:hAnsi="华文行楷" w:eastAsia="华文行楷" w:cs="华文行楷"/>
          <w:b w:val="0"/>
          <w:bCs w:val="0"/>
          <w:sz w:val="100"/>
          <w:szCs w:val="72"/>
          <w:lang w:val="en-US" w:eastAsia="zh-CN"/>
        </w:rPr>
        <w:t>指</w:t>
      </w:r>
    </w:p>
    <w:p>
      <w:pPr>
        <w:jc w:val="center"/>
        <w:rPr>
          <w:rFonts w:hint="eastAsia" w:ascii="华文行楷" w:hAnsi="华文行楷" w:eastAsia="华文行楷" w:cs="华文行楷"/>
          <w:b w:val="0"/>
          <w:bCs w:val="0"/>
          <w:sz w:val="100"/>
          <w:szCs w:val="72"/>
          <w:lang w:val="en-US" w:eastAsia="zh-CN"/>
        </w:rPr>
      </w:pPr>
      <w:r>
        <w:rPr>
          <w:rFonts w:hint="eastAsia" w:ascii="华文行楷" w:hAnsi="华文行楷" w:eastAsia="华文行楷" w:cs="华文行楷"/>
          <w:b w:val="0"/>
          <w:bCs w:val="0"/>
          <w:sz w:val="100"/>
          <w:szCs w:val="72"/>
          <w:lang w:val="en-US" w:eastAsia="zh-CN"/>
        </w:rPr>
        <w:t>南</w:t>
      </w:r>
    </w:p>
    <w:p>
      <w:pPr>
        <w:jc w:val="center"/>
        <w:rPr>
          <w:rFonts w:hint="eastAsia" w:ascii="楷体" w:hAnsi="楷体" w:eastAsia="楷体" w:cs="楷体"/>
          <w:b/>
          <w:bCs/>
          <w:sz w:val="44"/>
          <w:szCs w:val="44"/>
          <w:lang w:val="en-US" w:eastAsia="zh-CN"/>
        </w:rPr>
      </w:pPr>
    </w:p>
    <w:p>
      <w:pPr>
        <w:jc w:val="center"/>
        <w:rPr>
          <w:rFonts w:hint="eastAsia" w:ascii="楷体" w:hAnsi="楷体" w:eastAsia="楷体" w:cs="楷体"/>
          <w:b/>
          <w:bCs/>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before="313" w:beforeLines="100" w:after="313" w:afterLines="100"/>
        <w:jc w:val="center"/>
        <w:textAlignment w:val="auto"/>
        <w:rPr>
          <w:rFonts w:hint="eastAsia" w:ascii="楷体" w:hAnsi="楷体" w:eastAsia="楷体" w:cs="楷体"/>
          <w:b/>
          <w:bCs/>
          <w:sz w:val="44"/>
          <w:szCs w:val="44"/>
          <w:lang w:val="en-US" w:eastAsia="zh-CN"/>
        </w:rPr>
      </w:pPr>
      <w:r>
        <w:rPr>
          <w:rFonts w:hint="eastAsia" w:ascii="楷体" w:hAnsi="楷体" w:eastAsia="楷体" w:cs="楷体"/>
          <w:b/>
          <w:bCs/>
          <w:sz w:val="44"/>
          <w:szCs w:val="44"/>
          <w:lang w:val="en-US" w:eastAsia="zh-CN"/>
        </w:rPr>
        <w:t>高平市民政局发布</w:t>
      </w:r>
    </w:p>
    <w:p>
      <w:pPr>
        <w:keepNext w:val="0"/>
        <w:keepLines w:val="0"/>
        <w:pageBreakBefore w:val="0"/>
        <w:widowControl w:val="0"/>
        <w:kinsoku/>
        <w:wordWrap/>
        <w:overflowPunct/>
        <w:topLinePunct w:val="0"/>
        <w:autoSpaceDE/>
        <w:autoSpaceDN/>
        <w:bidi w:val="0"/>
        <w:adjustRightInd/>
        <w:snapToGrid/>
        <w:spacing w:before="313" w:beforeLines="100" w:after="313" w:afterLines="100"/>
        <w:jc w:val="center"/>
        <w:textAlignment w:val="auto"/>
        <w:rPr>
          <w:rFonts w:hint="eastAsia" w:ascii="楷体" w:hAnsi="楷体" w:eastAsia="楷体" w:cs="楷体"/>
          <w:b/>
          <w:bCs/>
          <w:sz w:val="44"/>
          <w:szCs w:val="44"/>
          <w:lang w:val="en-US" w:eastAsia="zh-CN"/>
        </w:rPr>
      </w:pPr>
      <w:r>
        <w:rPr>
          <w:rFonts w:hint="eastAsia" w:ascii="楷体" w:hAnsi="楷体" w:eastAsia="楷体" w:cs="楷体"/>
          <w:b/>
          <w:bCs/>
          <w:sz w:val="44"/>
          <w:szCs w:val="44"/>
          <w:lang w:val="en-US" w:eastAsia="zh-CN"/>
        </w:rPr>
        <w:t>发布日期：2020年4月</w:t>
      </w: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sz w:val="56"/>
          <w:szCs w:val="96"/>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48"/>
          <w:szCs w:val="56"/>
          <w:lang w:eastAsia="zh-CN"/>
        </w:rPr>
      </w:pPr>
      <w:r>
        <w:rPr>
          <w:rFonts w:hint="eastAsia" w:ascii="黑体" w:hAnsi="黑体" w:eastAsia="黑体" w:cs="黑体"/>
          <w:sz w:val="48"/>
          <w:szCs w:val="56"/>
          <w:lang w:eastAsia="zh-CN"/>
        </w:rPr>
        <w:t>高平市民办养老服务业</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48"/>
          <w:szCs w:val="56"/>
          <w:lang w:eastAsia="zh-CN"/>
        </w:rPr>
      </w:pPr>
      <w:r>
        <w:rPr>
          <w:rFonts w:hint="eastAsia" w:ascii="黑体" w:hAnsi="黑体" w:eastAsia="黑体" w:cs="黑体"/>
          <w:sz w:val="48"/>
          <w:szCs w:val="56"/>
          <w:lang w:eastAsia="zh-CN"/>
        </w:rPr>
        <w:t>项目贷款财政贴息政策咨询指南</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52"/>
          <w:szCs w:val="72"/>
          <w:lang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left"/>
        <w:textAlignment w:val="auto"/>
        <w:rPr>
          <w:rFonts w:hint="eastAsia" w:ascii="黑体" w:hAnsi="黑体" w:eastAsia="黑体" w:cs="黑体"/>
          <w:b w:val="0"/>
          <w:bCs/>
          <w:spacing w:val="0"/>
          <w:sz w:val="32"/>
          <w:szCs w:val="32"/>
          <w:shd w:val="clear" w:color="auto" w:fill="FFFFFF"/>
          <w:lang w:val="en-US" w:eastAsia="zh-CN"/>
        </w:rPr>
      </w:pPr>
      <w:r>
        <w:rPr>
          <w:rFonts w:hint="eastAsia" w:ascii="黑体" w:hAnsi="黑体" w:eastAsia="黑体" w:cs="黑体"/>
          <w:b w:val="0"/>
          <w:bCs/>
          <w:spacing w:val="0"/>
          <w:sz w:val="32"/>
          <w:szCs w:val="32"/>
          <w:shd w:val="clear" w:color="auto" w:fill="FFFFFF"/>
          <w:lang w:val="en-US" w:eastAsia="zh-CN"/>
        </w:rPr>
        <w:t>事项类型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政策咨询服务</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left"/>
        <w:textAlignment w:val="auto"/>
        <w:rPr>
          <w:rFonts w:hint="eastAsia" w:ascii="黑体" w:hAnsi="黑体" w:eastAsia="黑体" w:cs="黑体"/>
          <w:b w:val="0"/>
          <w:bCs/>
          <w:spacing w:val="0"/>
          <w:sz w:val="32"/>
          <w:szCs w:val="32"/>
          <w:shd w:val="clear" w:color="auto" w:fill="FFFFFF"/>
          <w:lang w:val="en-US" w:eastAsia="zh-CN"/>
        </w:rPr>
      </w:pPr>
      <w:r>
        <w:rPr>
          <w:rFonts w:hint="eastAsia" w:ascii="黑体" w:hAnsi="黑体" w:eastAsia="黑体" w:cs="黑体"/>
          <w:b w:val="0"/>
          <w:bCs/>
          <w:spacing w:val="0"/>
          <w:sz w:val="32"/>
          <w:szCs w:val="32"/>
          <w:shd w:val="clear" w:color="auto" w:fill="FFFFFF"/>
          <w:lang w:val="en-US" w:eastAsia="zh-CN"/>
        </w:rPr>
        <w:t>二、设立依据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仿宋" w:hAnsi="仿宋" w:eastAsia="仿宋" w:cs="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《山西省人民政府关于加快发展养老服务业的意见》晋政发</w:t>
      </w:r>
      <w:r>
        <w:rPr>
          <w:rFonts w:hint="eastAsia" w:ascii="仿宋" w:hAnsi="仿宋" w:eastAsia="仿宋" w:cs="仿宋"/>
          <w:b w:val="0"/>
          <w:bCs/>
          <w:spacing w:val="0"/>
          <w:sz w:val="32"/>
          <w:szCs w:val="32"/>
          <w:shd w:val="clear" w:color="auto" w:fill="FFFFFF"/>
          <w:lang w:val="en-US" w:eastAsia="zh-CN"/>
        </w:rPr>
        <w:t>〔2014〕16号。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仿宋" w:hAnsi="仿宋" w:eastAsia="仿宋" w:cs="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山西省财政厅、山西省民政厅关于印发《全省扶持养老服务业发展财政贴息暂行办法》的通知（晋财社</w:t>
      </w:r>
      <w:r>
        <w:rPr>
          <w:rFonts w:hint="eastAsia" w:ascii="仿宋" w:hAnsi="仿宋" w:eastAsia="仿宋" w:cs="仿宋"/>
          <w:b w:val="0"/>
          <w:bCs/>
          <w:spacing w:val="0"/>
          <w:sz w:val="32"/>
          <w:szCs w:val="32"/>
          <w:shd w:val="clear" w:color="auto" w:fill="FFFFFF"/>
          <w:lang w:val="en-US" w:eastAsia="zh-CN"/>
        </w:rPr>
        <w:t>〔2015〕5号）。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黑体" w:hAnsi="黑体" w:eastAsia="黑体" w:cs="黑体"/>
          <w:b w:val="0"/>
          <w:bCs/>
          <w:spacing w:val="0"/>
          <w:sz w:val="32"/>
          <w:szCs w:val="32"/>
          <w:shd w:val="clear" w:color="auto" w:fill="FFFFFF"/>
          <w:lang w:val="en-US" w:eastAsia="zh-CN"/>
        </w:rPr>
      </w:pPr>
      <w:r>
        <w:rPr>
          <w:rFonts w:hint="eastAsia" w:ascii="黑体" w:hAnsi="黑体" w:eastAsia="黑体" w:cs="黑体"/>
          <w:b w:val="0"/>
          <w:bCs/>
          <w:spacing w:val="0"/>
          <w:sz w:val="32"/>
          <w:szCs w:val="32"/>
          <w:shd w:val="clear" w:color="auto" w:fill="FFFFFF"/>
          <w:lang w:val="en-US" w:eastAsia="zh-CN"/>
        </w:rPr>
        <w:t>三、政策解读</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（一）《全省扶持养老服务业发展财政贴息暂行办法》所称民办养老服务业项目是指社会力量利用自有资金和信贷资金投资养老基本建设项目和养老服务项目。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（二）《全省扶持养老服务业发展财政贴息暂行办法》所称贷款是指项目单位（项目法人）从银行获得的专项用于投资建设养老基础设施和从事养老服务的项目贷款。</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（三）《全省扶持养老服务业发展财政贴息暂行办法》所称贴息资金是指省、市两级财政预算安排的专项用于养老服务业的贷款贴息资金，并列入省、市两级民政部门年度预算。</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（四）遵循鼓励发展、统筹兼顾、公开公平、突出重点的贴息原则。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default" w:ascii="黑体" w:hAnsi="黑体" w:eastAsia="黑体" w:cs="黑体"/>
          <w:b w:val="0"/>
          <w:bCs/>
          <w:spacing w:val="0"/>
          <w:sz w:val="32"/>
          <w:szCs w:val="32"/>
          <w:shd w:val="clear" w:color="auto" w:fill="FFFFFF"/>
          <w:lang w:val="en-US" w:eastAsia="zh-CN"/>
        </w:rPr>
      </w:pPr>
      <w:r>
        <w:rPr>
          <w:rFonts w:hint="eastAsia" w:ascii="黑体" w:hAnsi="黑体" w:eastAsia="黑体" w:cs="黑体"/>
          <w:b w:val="0"/>
          <w:bCs/>
          <w:spacing w:val="0"/>
          <w:sz w:val="32"/>
          <w:szCs w:val="32"/>
          <w:shd w:val="clear" w:color="auto" w:fill="FFFFFF"/>
          <w:lang w:val="en-US" w:eastAsia="zh-CN"/>
        </w:rPr>
        <w:t>四、贴息项目主要包括:</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 xml:space="preserve">1、养老基本建设项目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按照国家基本建设管理规定和程序，经有关部门批准新建或改建的非财政性投资的养老基础设施项目，其中新建项目贷款金额在200万元（含）以上，改扩建项目贷款在50万元（含）以上。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2、社区养老服务项目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经过依法登记的养老服务组织或机构，通过贷款投资兴办的社区老年餐厅、日间照料中心、护理服务站等养老服务项目，贷款金额在10万元（含）以上。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黑体" w:hAnsi="黑体" w:eastAsia="黑体" w:cs="黑体"/>
          <w:b w:val="0"/>
          <w:bCs/>
          <w:spacing w:val="0"/>
          <w:sz w:val="32"/>
          <w:szCs w:val="32"/>
          <w:shd w:val="clear" w:color="auto" w:fill="FFFFFF"/>
          <w:lang w:val="en-US" w:eastAsia="zh-CN"/>
        </w:rPr>
      </w:pPr>
      <w:r>
        <w:rPr>
          <w:rFonts w:hint="eastAsia" w:ascii="黑体" w:hAnsi="黑体" w:eastAsia="黑体" w:cs="黑体"/>
          <w:b w:val="0"/>
          <w:bCs/>
          <w:spacing w:val="0"/>
          <w:sz w:val="32"/>
          <w:szCs w:val="32"/>
          <w:shd w:val="clear" w:color="auto" w:fill="FFFFFF"/>
          <w:lang w:val="en-US" w:eastAsia="zh-CN"/>
        </w:rPr>
        <w:t>五、贴息期限</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财政贴息期限最长为三年，项目贷款少于三年的，按实际贷款期限贴息。贴息资金按照同期人民银行基准利率的一定比例确定，由省与市级财政共同负担。</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黑体" w:hAnsi="黑体" w:eastAsia="黑体" w:cs="黑体"/>
          <w:b w:val="0"/>
          <w:bCs/>
          <w:spacing w:val="0"/>
          <w:sz w:val="32"/>
          <w:szCs w:val="32"/>
          <w:shd w:val="clear" w:color="auto" w:fill="FFFFFF"/>
          <w:lang w:val="en-US" w:eastAsia="zh-CN"/>
        </w:rPr>
      </w:pPr>
      <w:r>
        <w:rPr>
          <w:rFonts w:hint="eastAsia" w:ascii="黑体" w:hAnsi="黑体" w:eastAsia="黑体" w:cs="黑体"/>
          <w:b w:val="0"/>
          <w:bCs/>
          <w:spacing w:val="0"/>
          <w:sz w:val="32"/>
          <w:szCs w:val="32"/>
          <w:shd w:val="clear" w:color="auto" w:fill="FFFFFF"/>
          <w:lang w:val="en-US" w:eastAsia="zh-CN"/>
        </w:rPr>
        <w:t>六、申请流程</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 xml:space="preserve">1、符合贴息的项目实行先付后贴。由项目单位（项目法人）按要求填制贷款项目贴息申请表，并附项目相关批准文件、贷款合同、贷款资金到位凭证、利息支付凭证等资料，向所在地市级财政、民政部门申报贴息资金。 </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2、市级财政、民政部门按规定组织专人或委托评审机构对贴息申请进行审核，并提出审核意见，于每年5月、10月分两批报省财政厅、省民政厅。</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3、市级财政部门和民政部门应将核定后的贴息资金及时拨付到位。项目单位收到贴息资金后，在建项目冲减工程成本，竣工和其他项目冲减财务费用。</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4、省级财政、民政主管部门要定期对贴息资金的落实情况进行监督检查，确保贴息资金发挥效益。各市财政、民政部门于每年年底向上级主管部门报告贴息项目的执行情况和贴息资金的落实情况。</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各有关部门及项目单位要严格按国家和省的规定管理和使用贴息资金，自觉接受审计部门监督检查。</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jc w:val="both"/>
        <w:textAlignment w:val="auto"/>
        <w:rPr>
          <w:rFonts w:hint="eastAsia" w:ascii="黑体" w:hAnsi="黑体" w:eastAsia="黑体" w:cs="黑体"/>
          <w:snapToGrid/>
          <w:color w:val="000000"/>
          <w:sz w:val="32"/>
          <w:szCs w:val="32"/>
          <w:lang w:val="en-US" w:eastAsia="zh-CN"/>
        </w:rPr>
      </w:pPr>
      <w:r>
        <w:rPr>
          <w:rFonts w:hint="eastAsia" w:ascii="黑体" w:hAnsi="黑体" w:eastAsia="黑体" w:cs="黑体"/>
          <w:snapToGrid/>
          <w:color w:val="000000"/>
          <w:sz w:val="32"/>
          <w:szCs w:val="32"/>
          <w:lang w:val="en-US" w:eastAsia="zh-CN"/>
        </w:rPr>
        <w:t>七、以下情形均不予贴息：</w:t>
      </w:r>
    </w:p>
    <w:p>
      <w:pPr>
        <w:keepNext w:val="0"/>
        <w:keepLines w:val="0"/>
        <w:pageBreakBefore w:val="0"/>
        <w:widowControl w:val="0"/>
        <w:numPr>
          <w:ilvl w:val="0"/>
          <w:numId w:val="2"/>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项目贷款利率超过中国人民银行公布的同期贷款基准利率的2个百分点以上；</w:t>
      </w:r>
    </w:p>
    <w:p>
      <w:pPr>
        <w:keepNext w:val="0"/>
        <w:keepLines w:val="0"/>
        <w:pageBreakBefore w:val="0"/>
        <w:widowControl w:val="0"/>
        <w:numPr>
          <w:ilvl w:val="0"/>
          <w:numId w:val="2"/>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未经有关部门批准，项目建设期延长或超概算发生的贷款利息；</w:t>
      </w:r>
    </w:p>
    <w:p>
      <w:pPr>
        <w:keepNext w:val="0"/>
        <w:keepLines w:val="0"/>
        <w:pageBreakBefore w:val="0"/>
        <w:widowControl w:val="0"/>
        <w:numPr>
          <w:ilvl w:val="0"/>
          <w:numId w:val="2"/>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未履行项目贷款合同规定支付的逾期贷款利息、加息、罚息；</w:t>
      </w:r>
    </w:p>
    <w:p>
      <w:pPr>
        <w:keepNext w:val="0"/>
        <w:keepLines w:val="0"/>
        <w:pageBreakBefore w:val="0"/>
        <w:widowControl w:val="0"/>
        <w:numPr>
          <w:ilvl w:val="0"/>
          <w:numId w:val="2"/>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项目贷款到位后擅自改变贷款用途的项目贴息；</w:t>
      </w:r>
    </w:p>
    <w:p>
      <w:pPr>
        <w:keepNext w:val="0"/>
        <w:keepLines w:val="0"/>
        <w:pageBreakBefore w:val="0"/>
        <w:widowControl w:val="0"/>
        <w:numPr>
          <w:ilvl w:val="0"/>
          <w:numId w:val="2"/>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其他有异议的项目贴息。</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jc w:val="both"/>
        <w:textAlignment w:val="auto"/>
        <w:rPr>
          <w:rFonts w:hint="eastAsia" w:ascii="黑体" w:hAnsi="黑体" w:eastAsia="黑体" w:cs="黑体"/>
          <w:snapToGrid/>
          <w:color w:val="000000"/>
          <w:sz w:val="32"/>
          <w:szCs w:val="32"/>
          <w:lang w:val="en-US" w:eastAsia="zh-CN"/>
        </w:rPr>
      </w:pPr>
      <w:r>
        <w:rPr>
          <w:rFonts w:hint="eastAsia" w:ascii="黑体" w:hAnsi="黑体" w:eastAsia="黑体" w:cs="黑体"/>
          <w:snapToGrid/>
          <w:color w:val="000000"/>
          <w:sz w:val="32"/>
          <w:szCs w:val="32"/>
          <w:lang w:val="en-US" w:eastAsia="zh-CN"/>
        </w:rPr>
        <w:t>八、咨询方式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现场咨询：高平市丹河北路39号高平市民政局三楼社会股；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电话咨询：5225068</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left"/>
        <w:textAlignment w:val="auto"/>
        <w:rPr>
          <w:rFonts w:hint="eastAsia" w:ascii="黑体" w:hAnsi="黑体" w:eastAsia="黑体" w:cs="黑体"/>
          <w:snapToGrid/>
          <w:color w:val="000000"/>
          <w:sz w:val="32"/>
          <w:szCs w:val="32"/>
          <w:lang w:val="en-US" w:eastAsia="zh-CN"/>
        </w:rPr>
      </w:pPr>
      <w:r>
        <w:rPr>
          <w:rFonts w:hint="eastAsia" w:ascii="黑体" w:hAnsi="黑体" w:eastAsia="黑体" w:cs="黑体"/>
          <w:snapToGrid/>
          <w:color w:val="000000"/>
          <w:sz w:val="32"/>
          <w:szCs w:val="32"/>
          <w:lang w:val="en-US" w:eastAsia="zh-CN"/>
        </w:rPr>
        <w:t>九、办理地址和时间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1.地址：高平市丹河北路39号高平市民政局三楼社会股；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 w:val="0"/>
          <w:bCs/>
          <w:spacing w:val="0"/>
          <w:w w:val="9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2.时间：春秋冬季：</w:t>
      </w:r>
      <w:r>
        <w:rPr>
          <w:rFonts w:hint="eastAsia" w:ascii="仿宋" w:hAnsi="仿宋" w:eastAsia="仿宋"/>
          <w:b w:val="0"/>
          <w:bCs/>
          <w:spacing w:val="0"/>
          <w:w w:val="90"/>
          <w:sz w:val="32"/>
          <w:szCs w:val="32"/>
          <w:shd w:val="clear" w:color="auto" w:fill="FFFFFF"/>
          <w:lang w:val="en-US" w:eastAsia="zh-CN"/>
        </w:rPr>
        <w:t>上午8:00-12:00    下午2：30-6：00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pPr>
      <w:r>
        <w:rPr>
          <w:rFonts w:hint="eastAsia" w:ascii="仿宋" w:hAnsi="仿宋" w:eastAsia="仿宋"/>
          <w:b w:val="0"/>
          <w:bCs/>
          <w:spacing w:val="0"/>
          <w:sz w:val="32"/>
          <w:szCs w:val="32"/>
          <w:shd w:val="clear" w:color="auto" w:fill="FFFFFF"/>
          <w:lang w:val="en-US" w:eastAsia="zh-CN"/>
        </w:rPr>
        <w:t>夏令时：上午8:00-12:00</w:t>
      </w:r>
      <w:r>
        <w:rPr>
          <w:rFonts w:hint="eastAsia" w:ascii="仿宋" w:hAnsi="仿宋" w:eastAsia="仿宋"/>
          <w:b w:val="0"/>
          <w:bCs/>
          <w:spacing w:val="0"/>
          <w:w w:val="90"/>
          <w:sz w:val="32"/>
          <w:szCs w:val="32"/>
          <w:shd w:val="clear" w:color="auto" w:fill="FFFFFF"/>
          <w:lang w:val="en-US" w:eastAsia="zh-CN"/>
        </w:rPr>
        <w:t xml:space="preserve">    </w:t>
      </w:r>
      <w:r>
        <w:rPr>
          <w:rFonts w:hint="eastAsia" w:ascii="仿宋" w:hAnsi="仿宋" w:eastAsia="仿宋"/>
          <w:b w:val="0"/>
          <w:bCs/>
          <w:spacing w:val="0"/>
          <w:sz w:val="32"/>
          <w:szCs w:val="32"/>
          <w:shd w:val="clear" w:color="auto" w:fill="FFFFFF"/>
          <w:lang w:val="en-US" w:eastAsia="zh-CN"/>
        </w:rPr>
        <w:t>下午3:00-6:00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华文行楷">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Calibri Light">
    <w:panose1 w:val="020F0302020204030204"/>
    <w:charset w:val="00"/>
    <w:family w:val="auto"/>
    <w:pitch w:val="default"/>
    <w:sig w:usb0="A00002EF" w:usb1="4000207B" w:usb2="00000000" w:usb3="00000000" w:csb0="2000019F" w:csb1="00000000"/>
  </w:font>
  <w:font w:name="方正粗黑宋简体">
    <w:panose1 w:val="02000000000000000000"/>
    <w:charset w:val="86"/>
    <w:family w:val="auto"/>
    <w:pitch w:val="default"/>
    <w:sig w:usb0="A00002BF" w:usb1="184F6CFA" w:usb2="00000012" w:usb3="00000000" w:csb0="00040001" w:csb1="00000000"/>
  </w:font>
  <w:font w:name="Gulim">
    <w:panose1 w:val="020B0600000101010101"/>
    <w:charset w:val="81"/>
    <w:family w:val="auto"/>
    <w:pitch w:val="default"/>
    <w:sig w:usb0="B00002AF" w:usb1="69D77CFB" w:usb2="00000030" w:usb3="00000000" w:csb0="4008009F" w:csb1="DFD70000"/>
  </w:font>
  <w:font w:name="方正兰亭超细黑简体">
    <w:panose1 w:val="02000000000000000000"/>
    <w:charset w:val="86"/>
    <w:family w:val="auto"/>
    <w:pitch w:val="default"/>
    <w:sig w:usb0="00000001" w:usb1="0800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Meiryo UI">
    <w:panose1 w:val="020B0604030504040204"/>
    <w:charset w:val="80"/>
    <w:family w:val="auto"/>
    <w:pitch w:val="default"/>
    <w:sig w:usb0="E10102FF" w:usb1="EAC7FFFF" w:usb2="00010012" w:usb3="00000000" w:csb0="6002009F" w:csb1="DFD70000"/>
  </w:font>
  <w:font w:name="MS Mincho">
    <w:panose1 w:val="02020609040205080304"/>
    <w:charset w:val="80"/>
    <w:family w:val="auto"/>
    <w:pitch w:val="default"/>
    <w:sig w:usb0="E00002FF" w:usb1="6AC7FDFB" w:usb2="00000012" w:usb3="00000000" w:csb0="4002009F" w:csb1="DFD70000"/>
  </w:font>
  <w:font w:name="Bookshelf Symbol 7">
    <w:panose1 w:val="05010101010101010101"/>
    <w:charset w:val="00"/>
    <w:family w:val="auto"/>
    <w:pitch w:val="default"/>
    <w:sig w:usb0="00000000" w:usb1="00000000" w:usb2="00000000" w:usb3="00000000" w:csb0="80000000" w:csb1="00000000"/>
  </w:font>
  <w:font w:name="David">
    <w:panose1 w:val="020E0502060401010101"/>
    <w:charset w:val="00"/>
    <w:family w:val="auto"/>
    <w:pitch w:val="default"/>
    <w:sig w:usb0="00000801" w:usb1="00000000" w:usb2="00000000" w:usb3="00000000" w:csb0="00000020" w:csb1="00200000"/>
  </w:font>
  <w:font w:name="Ebrima">
    <w:panose1 w:val="02000000000000000000"/>
    <w:charset w:val="00"/>
    <w:family w:val="auto"/>
    <w:pitch w:val="default"/>
    <w:sig w:usb0="A000505F" w:usb1="02000041" w:usb2="00000000" w:usb3="00000404" w:csb0="00000093" w:csb1="00000000"/>
  </w:font>
  <w:font w:name="Gautami">
    <w:panose1 w:val="020B0502040204020203"/>
    <w:charset w:val="00"/>
    <w:family w:val="auto"/>
    <w:pitch w:val="default"/>
    <w:sig w:usb0="00200003" w:usb1="00000000" w:usb2="00000000" w:usb3="00000000" w:csb0="00000001" w:csb1="00000000"/>
  </w:font>
  <w:font w:name="Iskoola Pota">
    <w:panose1 w:val="020B0502040204020203"/>
    <w:charset w:val="00"/>
    <w:family w:val="auto"/>
    <w:pitch w:val="default"/>
    <w:sig w:usb0="00000003" w:usb1="00000000" w:usb2="00000200" w:usb3="00000000" w:csb0="20000001" w:csb1="00000000"/>
  </w:font>
  <w:font w:name="Kartika">
    <w:panose1 w:val="02020503030404060203"/>
    <w:charset w:val="00"/>
    <w:family w:val="auto"/>
    <w:pitch w:val="default"/>
    <w:sig w:usb0="00800003" w:usb1="00000000" w:usb2="00000000" w:usb3="00000000" w:csb0="00000001" w:csb1="00000000"/>
  </w:font>
  <w:font w:name="Leelawadee">
    <w:panose1 w:val="020B0502040204020203"/>
    <w:charset w:val="00"/>
    <w:family w:val="auto"/>
    <w:pitch w:val="default"/>
    <w:sig w:usb0="810000AF" w:usb1="4000204B" w:usb2="00000000" w:usb3="00000000" w:csb0="20010001" w:csb1="00000000"/>
  </w:font>
  <w:font w:name="Marlett">
    <w:panose1 w:val="00000000000000000000"/>
    <w:charset w:val="00"/>
    <w:family w:val="auto"/>
    <w:pitch w:val="default"/>
    <w:sig w:usb0="00000000" w:usb1="00000000" w:usb2="00000000" w:usb3="00000000" w:csb0="80000000" w:csb1="00000000"/>
  </w:font>
  <w:font w:name="Microsoft Tai Le">
    <w:panose1 w:val="020B0502040204020203"/>
    <w:charset w:val="00"/>
    <w:family w:val="auto"/>
    <w:pitch w:val="default"/>
    <w:sig w:usb0="00000003" w:usb1="00000000" w:usb2="40000000" w:usb3="00000000" w:csb0="00000001" w:csb1="00000000"/>
  </w:font>
  <w:font w:name="Miriam">
    <w:panose1 w:val="020B0502050101010101"/>
    <w:charset w:val="00"/>
    <w:family w:val="auto"/>
    <w:pitch w:val="default"/>
    <w:sig w:usb0="00000801" w:usb1="00000000" w:usb2="00000000" w:usb3="00000000" w:csb0="00000020" w:csb1="00200000"/>
  </w:font>
  <w:font w:name="Trebuchet MS">
    <w:panose1 w:val="020B0603020202020204"/>
    <w:charset w:val="00"/>
    <w:family w:val="auto"/>
    <w:pitch w:val="default"/>
    <w:sig w:usb0="00000287" w:usb1="00000000" w:usb2="00000000" w:usb3="00000000" w:csb0="2000009F" w:csb1="00000000"/>
  </w:font>
  <w:font w:name="Vani">
    <w:panose1 w:val="020B0502040204020203"/>
    <w:charset w:val="00"/>
    <w:family w:val="auto"/>
    <w:pitch w:val="default"/>
    <w:sig w:usb0="00200003" w:usb1="00000000" w:usb2="00000000" w:usb3="00000000" w:csb0="00000001" w:csb1="00000000"/>
  </w:font>
  <w:font w:name="Microsoft Himalaya">
    <w:panose1 w:val="01010100010101010101"/>
    <w:charset w:val="00"/>
    <w:family w:val="auto"/>
    <w:pitch w:val="default"/>
    <w:sig w:usb0="80000003" w:usb1="00010000" w:usb2="00000040" w:usb3="00000000" w:csb0="00000001" w:csb1="00000000"/>
  </w:font>
  <w:font w:name="MV Boli">
    <w:panose1 w:val="02000500030200090000"/>
    <w:charset w:val="00"/>
    <w:family w:val="auto"/>
    <w:pitch w:val="default"/>
    <w:sig w:usb0="00000003" w:usb1="00000000" w:usb2="000001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ADE598"/>
    <w:multiLevelType w:val="singleLevel"/>
    <w:tmpl w:val="95ADE598"/>
    <w:lvl w:ilvl="0" w:tentative="0">
      <w:start w:val="1"/>
      <w:numFmt w:val="chineseCounting"/>
      <w:suff w:val="nothing"/>
      <w:lvlText w:val="（%1）"/>
      <w:lvlJc w:val="left"/>
      <w:rPr>
        <w:rFonts w:hint="eastAsia"/>
      </w:rPr>
    </w:lvl>
  </w:abstractNum>
  <w:abstractNum w:abstractNumId="1">
    <w:nsid w:val="AB2E2EE0"/>
    <w:multiLevelType w:val="singleLevel"/>
    <w:tmpl w:val="AB2E2EE0"/>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DD27A7"/>
    <w:rsid w:val="01617D50"/>
    <w:rsid w:val="01EF60B4"/>
    <w:rsid w:val="03E7757F"/>
    <w:rsid w:val="06656BD5"/>
    <w:rsid w:val="070B7FBB"/>
    <w:rsid w:val="0C85711F"/>
    <w:rsid w:val="0FF17B72"/>
    <w:rsid w:val="13AD3747"/>
    <w:rsid w:val="14756C58"/>
    <w:rsid w:val="1DAD26D0"/>
    <w:rsid w:val="1F9C4AB4"/>
    <w:rsid w:val="20687F3F"/>
    <w:rsid w:val="21FA053C"/>
    <w:rsid w:val="229E76B9"/>
    <w:rsid w:val="22E45E5D"/>
    <w:rsid w:val="255D6681"/>
    <w:rsid w:val="2671260A"/>
    <w:rsid w:val="29F86076"/>
    <w:rsid w:val="2A0F399D"/>
    <w:rsid w:val="2BA46B25"/>
    <w:rsid w:val="2D5715B7"/>
    <w:rsid w:val="30461D2E"/>
    <w:rsid w:val="331442C2"/>
    <w:rsid w:val="3A6501A5"/>
    <w:rsid w:val="423332FF"/>
    <w:rsid w:val="44BE3DDA"/>
    <w:rsid w:val="4EDD2608"/>
    <w:rsid w:val="4F7B4F46"/>
    <w:rsid w:val="52DD27A7"/>
    <w:rsid w:val="53096AFB"/>
    <w:rsid w:val="558B0E12"/>
    <w:rsid w:val="56776020"/>
    <w:rsid w:val="58132B44"/>
    <w:rsid w:val="58C97C44"/>
    <w:rsid w:val="5A116549"/>
    <w:rsid w:val="64C17E28"/>
    <w:rsid w:val="68A52708"/>
    <w:rsid w:val="695E05C7"/>
    <w:rsid w:val="6A2F4898"/>
    <w:rsid w:val="6B1A5D43"/>
    <w:rsid w:val="6EF24DD9"/>
    <w:rsid w:val="73716DDF"/>
    <w:rsid w:val="7C0253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0"/>
    <w:pPr>
      <w:spacing w:before="100" w:beforeAutospacing="1" w:after="100" w:afterAutospacing="1"/>
      <w:outlineLvl w:val="2"/>
    </w:pPr>
    <w:rPr>
      <w:rFonts w:hint="eastAsia" w:cs="Times New Roman"/>
      <w:b/>
      <w:sz w:val="32"/>
      <w:szCs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2020-04-26T03:33:00Z</dcterms:created>
  <dc:creator>WPS_1523609308</dc:creator>
  <cp:lastModifiedBy> 喵呜</cp:lastModifiedBy>
  <cp:lastPrinted>2020-04-29T03:20:45Z</cp:lastPrinted>
  <dcterms:modified xsi:type="dcterms:W3CDTF">2020-04-29T03:22:09Z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