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bCs/>
          <w:sz w:val="72"/>
          <w:szCs w:val="7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center"/>
        <w:textAlignment w:val="auto"/>
        <w:rPr>
          <w:rFonts w:hint="eastAsia" w:ascii="黑体" w:hAnsi="黑体" w:eastAsia="黑体" w:cs="黑体"/>
          <w:sz w:val="52"/>
          <w:szCs w:val="52"/>
          <w:lang w:eastAsia="zh-CN"/>
        </w:rPr>
      </w:pPr>
      <w:r>
        <w:rPr>
          <w:rFonts w:hint="eastAsia" w:ascii="黑体" w:hAnsi="黑体" w:eastAsia="黑体" w:cs="黑体"/>
          <w:sz w:val="52"/>
          <w:szCs w:val="52"/>
          <w:lang w:eastAsia="zh-CN"/>
        </w:rPr>
        <w:t>抗菌药物处方权或抗菌药物调剂</w:t>
      </w:r>
    </w:p>
    <w:p>
      <w:pPr>
        <w:jc w:val="center"/>
        <w:rPr>
          <w:rFonts w:hint="eastAsia" w:ascii="黑体" w:hAnsi="黑体" w:eastAsia="黑体" w:cs="黑体"/>
          <w:sz w:val="52"/>
          <w:szCs w:val="52"/>
          <w:lang w:eastAsia="zh-CN"/>
        </w:rPr>
      </w:pPr>
      <w:r>
        <w:rPr>
          <w:rFonts w:hint="eastAsia" w:ascii="黑体" w:hAnsi="黑体" w:eastAsia="黑体" w:cs="黑体"/>
          <w:sz w:val="52"/>
          <w:szCs w:val="52"/>
          <w:lang w:eastAsia="zh-CN"/>
        </w:rPr>
        <w:t>资格的授予</w:t>
      </w:r>
    </w:p>
    <w:p>
      <w:pPr>
        <w:jc w:val="center"/>
        <w:rPr>
          <w:rFonts w:hint="eastAsia" w:ascii="华文行楷" w:hAnsi="华文行楷" w:eastAsia="华文行楷" w:cs="华文行楷"/>
          <w:b w:val="0"/>
          <w:bCs w:val="0"/>
          <w:sz w:val="72"/>
          <w:szCs w:val="72"/>
          <w:lang w:val="en-US" w:eastAsia="zh-CN"/>
        </w:rPr>
      </w:pPr>
      <w:r>
        <w:rPr>
          <w:rFonts w:hint="eastAsia" w:ascii="华文行楷" w:hAnsi="华文行楷" w:eastAsia="华文行楷" w:cs="华文行楷"/>
          <w:b w:val="0"/>
          <w:bCs w:val="0"/>
          <w:sz w:val="72"/>
          <w:szCs w:val="72"/>
          <w:lang w:val="en-US" w:eastAsia="zh-CN"/>
        </w:rPr>
        <w:t>办</w:t>
      </w:r>
    </w:p>
    <w:p>
      <w:pPr>
        <w:jc w:val="center"/>
        <w:rPr>
          <w:rFonts w:hint="eastAsia" w:ascii="华文行楷" w:hAnsi="华文行楷" w:eastAsia="华文行楷" w:cs="华文行楷"/>
          <w:b w:val="0"/>
          <w:bCs w:val="0"/>
          <w:sz w:val="72"/>
          <w:szCs w:val="72"/>
          <w:lang w:val="en-US" w:eastAsia="zh-CN"/>
        </w:rPr>
      </w:pPr>
      <w:r>
        <w:rPr>
          <w:rFonts w:hint="eastAsia" w:ascii="华文行楷" w:hAnsi="华文行楷" w:eastAsia="华文行楷" w:cs="华文行楷"/>
          <w:b w:val="0"/>
          <w:bCs w:val="0"/>
          <w:sz w:val="72"/>
          <w:szCs w:val="72"/>
          <w:lang w:val="en-US" w:eastAsia="zh-CN"/>
        </w:rPr>
        <w:t>事</w:t>
      </w:r>
    </w:p>
    <w:p>
      <w:pPr>
        <w:jc w:val="center"/>
        <w:rPr>
          <w:rFonts w:hint="eastAsia" w:ascii="华文行楷" w:hAnsi="华文行楷" w:eastAsia="华文行楷" w:cs="华文行楷"/>
          <w:b w:val="0"/>
          <w:bCs w:val="0"/>
          <w:sz w:val="72"/>
          <w:szCs w:val="72"/>
          <w:lang w:val="en-US" w:eastAsia="zh-CN"/>
        </w:rPr>
      </w:pPr>
      <w:r>
        <w:rPr>
          <w:rFonts w:hint="eastAsia" w:ascii="华文行楷" w:hAnsi="华文行楷" w:eastAsia="华文行楷" w:cs="华文行楷"/>
          <w:b w:val="0"/>
          <w:bCs w:val="0"/>
          <w:sz w:val="72"/>
          <w:szCs w:val="72"/>
          <w:lang w:val="en-US" w:eastAsia="zh-CN"/>
        </w:rPr>
        <w:t>指</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72"/>
          <w:szCs w:val="72"/>
          <w:lang w:val="en-US" w:eastAsia="zh-CN"/>
        </w:rPr>
        <w:t>南</w:t>
      </w:r>
    </w:p>
    <w:p>
      <w:pPr>
        <w:jc w:val="center"/>
        <w:rPr>
          <w:rFonts w:hint="eastAsia" w:ascii="楷体" w:hAnsi="楷体" w:eastAsia="楷体" w:cs="楷体"/>
          <w:b/>
          <w:bCs/>
          <w:sz w:val="44"/>
          <w:szCs w:val="44"/>
          <w:lang w:val="en-US" w:eastAsia="zh-CN"/>
        </w:rPr>
      </w:pPr>
    </w:p>
    <w:p>
      <w:pPr>
        <w:jc w:val="center"/>
        <w:rPr>
          <w:rFonts w:hint="eastAsia" w:ascii="楷体" w:hAnsi="楷体" w:eastAsia="楷体" w:cs="楷体"/>
          <w:b/>
          <w:bCs/>
          <w:sz w:val="44"/>
          <w:szCs w:val="44"/>
          <w:lang w:val="en-US" w:eastAsia="zh-CN"/>
        </w:rPr>
      </w:pPr>
    </w:p>
    <w:p>
      <w:pPr>
        <w:jc w:val="center"/>
        <w:rPr>
          <w:rFonts w:hint="eastAsia" w:ascii="楷体" w:hAnsi="楷体" w:eastAsia="楷体" w:cs="楷体"/>
          <w:b/>
          <w:bCs/>
          <w:sz w:val="44"/>
          <w:szCs w:val="44"/>
          <w:lang w:val="en-US" w:eastAsia="zh-CN"/>
        </w:rPr>
      </w:pPr>
    </w:p>
    <w:p>
      <w:pPr>
        <w:jc w:val="center"/>
        <w:rPr>
          <w:rFonts w:hint="eastAsia" w:ascii="楷体" w:hAnsi="楷体" w:eastAsia="楷体" w:cs="楷体"/>
          <w:b/>
          <w:bCs/>
          <w:sz w:val="44"/>
          <w:szCs w:val="44"/>
          <w:lang w:val="en-US" w:eastAsia="zh-CN"/>
        </w:rPr>
      </w:pPr>
    </w:p>
    <w:p>
      <w:pPr>
        <w:jc w:val="center"/>
        <w:rPr>
          <w:rFonts w:hint="eastAsia" w:ascii="楷体" w:hAnsi="楷体" w:eastAsia="楷体" w:cs="楷体"/>
          <w:b/>
          <w:bCs/>
          <w:sz w:val="44"/>
          <w:szCs w:val="44"/>
          <w:lang w:val="en-US" w:eastAsia="zh-CN"/>
        </w:rPr>
      </w:pPr>
    </w:p>
    <w:p>
      <w:pPr>
        <w:jc w:val="center"/>
        <w:rPr>
          <w:rFonts w:hint="eastAsia" w:ascii="楷体" w:hAnsi="楷体" w:eastAsia="楷体" w:cs="楷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625" w:afterLines="200"/>
        <w:jc w:val="center"/>
        <w:textAlignment w:val="auto"/>
        <w:rPr>
          <w:rFonts w:hint="default" w:ascii="楷体" w:hAnsi="楷体" w:eastAsia="楷体" w:cs="楷体"/>
          <w:b/>
          <w:bCs/>
          <w:sz w:val="44"/>
          <w:szCs w:val="44"/>
          <w:lang w:val="en-US" w:eastAsia="zh-CN"/>
        </w:rPr>
      </w:pPr>
      <w:r>
        <w:rPr>
          <w:rFonts w:hint="eastAsia" w:ascii="楷体" w:hAnsi="楷体" w:eastAsia="楷体" w:cs="楷体"/>
          <w:b/>
          <w:bCs/>
          <w:sz w:val="44"/>
          <w:szCs w:val="44"/>
          <w:lang w:val="en-US" w:eastAsia="zh-CN"/>
        </w:rPr>
        <w:t>高平市卫生健康和体育局发布</w:t>
      </w:r>
    </w:p>
    <w:p>
      <w:pPr>
        <w:jc w:val="center"/>
        <w:rPr>
          <w:rFonts w:hint="eastAsia" w:ascii="黑体" w:hAnsi="黑体" w:eastAsia="黑体" w:cs="黑体"/>
          <w:sz w:val="44"/>
          <w:szCs w:val="44"/>
          <w:lang w:val="en-US" w:eastAsia="zh-CN"/>
        </w:rPr>
        <w:sectPr>
          <w:footerReference r:id="rId4" w:type="first"/>
          <w:footerReference r:id="rId3" w:type="default"/>
          <w:pgSz w:w="11906" w:h="16838"/>
          <w:pgMar w:top="1701" w:right="1646" w:bottom="1531" w:left="1701" w:header="851" w:footer="992" w:gutter="0"/>
          <w:pgNumType w:fmt="decimal" w:start="20"/>
          <w:cols w:space="720"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lang w:eastAsia="zh-CN"/>
        </w:rPr>
        <w:t>抗菌药物处方权或抗菌药物调剂</w:t>
      </w:r>
    </w:p>
    <w:p>
      <w:pPr>
        <w:keepNext w:val="0"/>
        <w:keepLines w:val="0"/>
        <w:pageBreakBefore w:val="0"/>
        <w:widowControl w:val="0"/>
        <w:kinsoku/>
        <w:wordWrap/>
        <w:overflowPunct/>
        <w:topLinePunct w:val="0"/>
        <w:autoSpaceDE/>
        <w:autoSpaceDN/>
        <w:bidi w:val="0"/>
        <w:adjustRightInd/>
        <w:snapToGrid/>
        <w:spacing w:after="469" w:afterLines="150"/>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eastAsia="zh-CN"/>
        </w:rPr>
        <w:t>资格的授予</w:t>
      </w:r>
      <w:r>
        <w:rPr>
          <w:rFonts w:hint="eastAsia" w:ascii="黑体" w:hAnsi="黑体" w:eastAsia="黑体" w:cs="黑体"/>
          <w:sz w:val="44"/>
          <w:szCs w:val="44"/>
          <w:lang w:val="en-US" w:eastAsia="zh-CN"/>
        </w:rPr>
        <w:t>办事指南</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一、事项类型：</w:t>
      </w:r>
      <w:r>
        <w:rPr>
          <w:rFonts w:hint="eastAsia" w:ascii="仿宋" w:hAnsi="仿宋" w:eastAsia="仿宋" w:cs="仿宋"/>
          <w:sz w:val="32"/>
          <w:szCs w:val="32"/>
          <w:lang w:eastAsia="zh-CN"/>
        </w:rPr>
        <w:t>其他行政权力</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二、禁止性规定：</w:t>
      </w:r>
      <w:r>
        <w:rPr>
          <w:rFonts w:hint="eastAsia" w:ascii="仿宋" w:hAnsi="仿宋" w:eastAsia="仿宋" w:cs="仿宋"/>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三、适用范围：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《抗菌药物临床应用管理办法》（2012年卫生部令</w:t>
      </w:r>
      <w:r>
        <w:rPr>
          <w:rFonts w:hint="eastAsia" w:ascii="仿宋" w:hAnsi="仿宋" w:eastAsia="仿宋" w:cs="仿宋"/>
          <w:sz w:val="32"/>
          <w:szCs w:val="32"/>
          <w:lang w:val="en-US" w:eastAsia="zh-CN"/>
        </w:rPr>
        <w:t>第</w:t>
      </w:r>
      <w:bookmarkStart w:id="0" w:name="_GoBack"/>
      <w:bookmarkEnd w:id="0"/>
      <w:r>
        <w:rPr>
          <w:rFonts w:hint="eastAsia" w:ascii="仿宋" w:hAnsi="仿宋" w:eastAsia="仿宋" w:cs="仿宋"/>
          <w:sz w:val="32"/>
          <w:szCs w:val="32"/>
          <w:lang w:eastAsia="zh-CN"/>
        </w:rPr>
        <w:t>84条） 第二十四条 具有高级专业技术职务任职资格的医师，可授予特殊使用级抗菌药物处方权；具有中级以上专业技术职务任职资格的医师，可授予限制使用级抗菌药物处方权；具有初级专业技术职务任职资格的医师，在乡、民族乡、镇、村的医疗机构独立从事一般执业活动的执业助理医师以及乡村医生，可授予非限制使用级抗菌药物处方权。药师经培训并考核合格后，方可获得抗菌药物调剂资格。二级以上医院应当定期对医师和药师进行抗菌药物临床应用知识和规范化管理的培训。医师经本机构培训并考核合格后，方可获得相应的处方权。其他医疗机构依法享有处方权的医师、乡村医生和从事处方调剂工作的药师，由县级以上地方卫生行政部门组织相关培训、考核。经考核合格的，授予相应的抗菌药物处方权或者抗菌药物调剂资格。</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四、设立依据：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《抗菌药物临床应用管理办法》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五、办理条件：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具有执业助理医师以上资格证书、乡村医生资格证书、药师资格证书及抗菌药物考核合格证书等</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六、申办材料：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（一）申请表</w:t>
      </w:r>
      <w:r>
        <w:rPr>
          <w:rFonts w:hint="eastAsia" w:ascii="仿宋" w:hAnsi="仿宋" w:eastAsia="仿宋" w:cs="仿宋"/>
          <w:sz w:val="32"/>
          <w:szCs w:val="32"/>
          <w:lang w:val="en-US" w:eastAsia="zh-CN"/>
        </w:rPr>
        <w:t>（村卫生室实行乡村一体化管理，须经乡镇卫生院或社区卫生服务中心同意）</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（二）《医疗机构执业许可证》副本复印件；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（三）身份证复印件；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（四）抗菌药物临床应用与规范化管理培训考核合格证书复印件；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（五）相关人员的资质证书（医师资格证书、医师执业证书、护士执业证书、乡村医生证书、药士（师）证书）复印件、专业技术职务任职资格证书。</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eastAsia="zh-CN"/>
        </w:rPr>
      </w:pPr>
      <w:r>
        <w:rPr>
          <w:rFonts w:hint="eastAsia" w:ascii="黑体" w:hAnsi="黑体" w:eastAsia="黑体" w:cs="黑体"/>
          <w:snapToGrid/>
          <w:color w:val="000000"/>
          <w:sz w:val="32"/>
          <w:szCs w:val="32"/>
          <w:lang w:eastAsia="zh-CN"/>
        </w:rPr>
        <w:t>七、办理方式：</w:t>
      </w:r>
      <w:r>
        <w:rPr>
          <w:rFonts w:hint="eastAsia" w:ascii="仿宋" w:hAnsi="仿宋" w:eastAsia="仿宋" w:cs="仿宋"/>
          <w:sz w:val="32"/>
          <w:szCs w:val="32"/>
          <w:lang w:eastAsia="zh-CN"/>
        </w:rPr>
        <w:t>现场办理</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八、办理流程：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napToGrid/>
          <w:color w:val="000000"/>
          <w:sz w:val="32"/>
          <w:szCs w:val="32"/>
          <w:lang w:val="en-US" w:eastAsia="zh-CN"/>
        </w:rPr>
      </w:pPr>
      <w:r>
        <w:rPr>
          <w:rFonts w:hint="eastAsia" w:ascii="仿宋" w:hAnsi="仿宋" w:eastAsia="仿宋" w:cs="仿宋"/>
          <w:snapToGrid/>
          <w:color w:val="000000"/>
          <w:sz w:val="32"/>
          <w:szCs w:val="32"/>
          <w:lang w:val="en-US" w:eastAsia="zh-CN"/>
        </w:rPr>
        <w:t>受理-审核-送达</w:t>
      </w:r>
    </w:p>
    <w:p>
      <w:pPr>
        <w:keepNext w:val="0"/>
        <w:keepLines w:val="0"/>
        <w:pageBreakBefore w:val="0"/>
        <w:widowControl w:val="0"/>
        <w:kinsoku/>
        <w:wordWrap/>
        <w:overflowPunct/>
        <w:topLinePunct w:val="0"/>
        <w:autoSpaceDE/>
        <w:autoSpaceDN/>
        <w:bidi w:val="0"/>
        <w:adjustRightInd/>
        <w:snapToGrid/>
        <w:spacing w:after="313" w:afterLines="100"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九、办理时限：</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3971"/>
        <w:gridCol w:w="2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ind w:leftChars="0"/>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法定时限</w:t>
            </w:r>
          </w:p>
        </w:tc>
        <w:tc>
          <w:tcPr>
            <w:tcW w:w="6818"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left"/>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ind w:leftChars="0"/>
              <w:jc w:val="center"/>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法律依据</w:t>
            </w:r>
          </w:p>
        </w:tc>
        <w:tc>
          <w:tcPr>
            <w:tcW w:w="6818" w:type="dxa"/>
            <w:gridSpan w:val="2"/>
            <w:vAlign w:val="center"/>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lang w:eastAsia="zh-CN"/>
              </w:rPr>
              <w:t>《抗菌药物临床应用管理办法》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 xml:space="preserve">承诺时限 </w:t>
            </w:r>
          </w:p>
        </w:tc>
        <w:tc>
          <w:tcPr>
            <w:tcW w:w="6818"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left"/>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受理</w:t>
            </w:r>
          </w:p>
        </w:tc>
        <w:tc>
          <w:tcPr>
            <w:tcW w:w="39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审核</w:t>
            </w:r>
          </w:p>
        </w:tc>
        <w:tc>
          <w:tcPr>
            <w:tcW w:w="28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39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5</w:t>
            </w:r>
          </w:p>
        </w:tc>
        <w:tc>
          <w:tcPr>
            <w:tcW w:w="28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4</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说明：申请材料齐全、符合法定形式为受理。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仿宋" w:hAnsi="仿宋" w:eastAsia="仿宋" w:cs="仿宋"/>
          <w:sz w:val="32"/>
          <w:szCs w:val="32"/>
          <w:lang w:val="en-US" w:eastAsia="zh-CN"/>
        </w:rPr>
      </w:pPr>
      <w:r>
        <w:rPr>
          <w:rFonts w:hint="eastAsia" w:ascii="黑体" w:hAnsi="黑体" w:eastAsia="黑体" w:cs="黑体"/>
          <w:snapToGrid/>
          <w:color w:val="000000"/>
          <w:sz w:val="32"/>
          <w:szCs w:val="32"/>
          <w:lang w:val="en-US" w:eastAsia="zh-CN"/>
        </w:rPr>
        <w:t>十、收费依据及标准：</w:t>
      </w:r>
      <w:r>
        <w:rPr>
          <w:rFonts w:hint="eastAsia" w:ascii="仿宋" w:hAnsi="仿宋" w:eastAsia="仿宋" w:cs="仿宋"/>
          <w:sz w:val="32"/>
          <w:szCs w:val="32"/>
          <w:lang w:eastAsia="zh-CN"/>
        </w:rPr>
        <w:t>不收费</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仿宋"/>
          <w:sz w:val="32"/>
          <w:szCs w:val="32"/>
          <w:lang w:val="en-US" w:eastAsia="zh-CN"/>
        </w:rPr>
      </w:pPr>
      <w:r>
        <w:rPr>
          <w:rFonts w:hint="eastAsia" w:ascii="黑体" w:hAnsi="黑体" w:eastAsia="黑体" w:cs="黑体"/>
          <w:snapToGrid/>
          <w:color w:val="000000"/>
          <w:sz w:val="32"/>
          <w:szCs w:val="32"/>
          <w:lang w:val="en-US" w:eastAsia="zh-CN"/>
        </w:rPr>
        <w:t>十一、结果送达：</w:t>
      </w:r>
      <w:r>
        <w:rPr>
          <w:rFonts w:hint="eastAsia" w:ascii="仿宋" w:hAnsi="仿宋" w:eastAsia="仿宋" w:cs="仿宋"/>
          <w:b w:val="0"/>
          <w:bCs w:val="0"/>
          <w:sz w:val="32"/>
          <w:szCs w:val="32"/>
          <w:lang w:eastAsia="zh-CN"/>
        </w:rPr>
        <w:t>现场送达</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lang w:val="en-US" w:eastAsia="zh-CN"/>
        </w:rPr>
      </w:pPr>
      <w:r>
        <w:rPr>
          <w:rFonts w:hint="eastAsia" w:ascii="黑体" w:hAnsi="黑体" w:eastAsia="黑体" w:cs="黑体"/>
          <w:snapToGrid/>
          <w:color w:val="000000"/>
          <w:sz w:val="32"/>
          <w:szCs w:val="32"/>
          <w:lang w:val="en-US" w:eastAsia="zh-CN"/>
        </w:rPr>
        <w:t>十二、咨询方式：</w:t>
      </w:r>
      <w:r>
        <w:rPr>
          <w:rFonts w:hint="eastAsia" w:ascii="仿宋" w:hAnsi="仿宋" w:eastAsia="仿宋" w:cs="仿宋"/>
          <w:sz w:val="32"/>
          <w:szCs w:val="32"/>
          <w:lang w:eastAsia="zh-CN"/>
        </w:rPr>
        <w:t>电话咨询</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仿宋"/>
          <w:sz w:val="32"/>
          <w:szCs w:val="32"/>
          <w:lang w:val="en-US" w:eastAsia="zh-CN"/>
        </w:rPr>
      </w:pPr>
      <w:r>
        <w:rPr>
          <w:rFonts w:hint="eastAsia" w:ascii="黑体" w:hAnsi="黑体" w:eastAsia="黑体" w:cs="黑体"/>
          <w:snapToGrid/>
          <w:color w:val="000000"/>
          <w:sz w:val="32"/>
          <w:szCs w:val="32"/>
          <w:lang w:val="en-US" w:eastAsia="zh-CN"/>
        </w:rPr>
        <w:t>十三、监督投诉渠道：</w:t>
      </w:r>
      <w:r>
        <w:rPr>
          <w:rFonts w:hint="eastAsia" w:ascii="仿宋" w:hAnsi="仿宋" w:eastAsia="仿宋" w:cs="仿宋"/>
          <w:sz w:val="32"/>
          <w:szCs w:val="32"/>
          <w:lang w:val="en-US" w:eastAsia="zh-CN"/>
        </w:rPr>
        <w:t>0356-5227830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仿宋"/>
          <w:sz w:val="32"/>
          <w:szCs w:val="32"/>
          <w:lang w:val="en-US" w:eastAsia="zh-CN"/>
        </w:rPr>
      </w:pPr>
      <w:r>
        <w:rPr>
          <w:rFonts w:hint="eastAsia" w:ascii="黑体" w:hAnsi="黑体" w:eastAsia="黑体" w:cs="黑体"/>
          <w:snapToGrid/>
          <w:color w:val="000000"/>
          <w:sz w:val="32"/>
          <w:szCs w:val="32"/>
          <w:lang w:val="en-US" w:eastAsia="zh-CN"/>
        </w:rPr>
        <w:t>十四、办理地址：</w:t>
      </w:r>
      <w:r>
        <w:rPr>
          <w:rFonts w:hint="eastAsia" w:ascii="仿宋" w:hAnsi="仿宋" w:eastAsia="仿宋" w:cs="仿宋"/>
          <w:sz w:val="32"/>
          <w:szCs w:val="32"/>
          <w:lang w:val="en-US" w:eastAsia="zh-CN"/>
        </w:rPr>
        <w:t>高平市卫生健康和体育局</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default" w:ascii="仿宋" w:hAnsi="仿宋" w:eastAsia="仿宋" w:cs="仿宋"/>
          <w:sz w:val="32"/>
          <w:szCs w:val="32"/>
          <w:lang w:val="en-US" w:eastAsia="zh-CN"/>
        </w:rPr>
      </w:pPr>
      <w:r>
        <w:rPr>
          <w:rFonts w:hint="eastAsia" w:ascii="黑体" w:hAnsi="黑体" w:eastAsia="黑体" w:cs="黑体"/>
          <w:b w:val="0"/>
          <w:bCs w:val="0"/>
          <w:sz w:val="32"/>
          <w:szCs w:val="32"/>
          <w:lang w:eastAsia="zh-CN"/>
        </w:rPr>
        <w:t>时</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lang w:eastAsia="zh-CN"/>
        </w:rPr>
        <w:t>间：</w:t>
      </w:r>
      <w:r>
        <w:rPr>
          <w:rFonts w:hint="eastAsia" w:ascii="仿宋" w:hAnsi="仿宋" w:eastAsia="仿宋" w:cs="仿宋"/>
          <w:b w:val="0"/>
          <w:bCs w:val="0"/>
          <w:sz w:val="32"/>
          <w:szCs w:val="32"/>
          <w:lang w:val="en-US" w:eastAsia="zh-CN"/>
        </w:rPr>
        <w:t>正常工作日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仿宋"/>
          <w:sz w:val="32"/>
          <w:szCs w:val="32"/>
          <w:lang w:val="en-US" w:eastAsia="zh-CN"/>
        </w:rPr>
      </w:pPr>
      <w:r>
        <w:rPr>
          <w:rFonts w:hint="eastAsia" w:ascii="黑体" w:hAnsi="黑体" w:eastAsia="黑体" w:cs="黑体"/>
          <w:snapToGrid/>
          <w:color w:val="000000"/>
          <w:sz w:val="32"/>
          <w:szCs w:val="32"/>
          <w:lang w:val="en-US" w:eastAsia="zh-CN"/>
        </w:rPr>
        <w:t>十五、办理进程和结果查询：</w:t>
      </w:r>
      <w:r>
        <w:rPr>
          <w:rFonts w:hint="eastAsia" w:ascii="仿宋" w:hAnsi="仿宋" w:eastAsia="仿宋" w:cs="仿宋"/>
          <w:sz w:val="32"/>
          <w:szCs w:val="32"/>
          <w:lang w:val="en-US" w:eastAsia="zh-CN"/>
        </w:rPr>
        <w:t>高平市卫生健康和体育局</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仿宋" w:hAnsi="仿宋" w:eastAsia="仿宋" w:cs="仿宋"/>
          <w:sz w:val="32"/>
          <w:szCs w:val="32"/>
          <w:lang w:val="en-US" w:eastAsia="zh-CN"/>
        </w:rPr>
      </w:pPr>
    </w:p>
    <w:sectPr>
      <w:footerReference r:id="rId5" w:type="default"/>
      <w:pgSz w:w="11906" w:h="16838"/>
      <w:pgMar w:top="1701" w:right="1587" w:bottom="1587"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rPr>
        <w:rFonts w:hint="eastAsia"/>
      </w:rPr>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20</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20</w:t>
                    </w:r>
                    <w:r>
                      <w:rPr>
                        <w:rFonts w:hint="eastAsia"/>
                        <w:lang w:eastAsia="zh-CN"/>
                      </w:rPr>
                      <w:fldChar w:fldCharType="end"/>
                    </w:r>
                  </w:p>
                </w:txbxContent>
              </v:textbox>
            </v:shape>
          </w:pict>
        </mc:Fallback>
      </mc:AlternateContent>
    </w:r>
    <w:r>
      <w:rPr>
        <w:rFonts w:hint="eastAsia"/>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jNDEwMzVhNzEzMjU5Njc3NjAwZTEwMTRjMTMxOTkifQ=="/>
  </w:docVars>
  <w:rsids>
    <w:rsidRoot w:val="51926437"/>
    <w:rsid w:val="0EC8547E"/>
    <w:rsid w:val="118A69CC"/>
    <w:rsid w:val="12FE3A92"/>
    <w:rsid w:val="15C158D7"/>
    <w:rsid w:val="1839494C"/>
    <w:rsid w:val="1A405BCE"/>
    <w:rsid w:val="1B2940D7"/>
    <w:rsid w:val="1E2C7885"/>
    <w:rsid w:val="23F10B6E"/>
    <w:rsid w:val="323E3515"/>
    <w:rsid w:val="33437E89"/>
    <w:rsid w:val="3C1D4D7E"/>
    <w:rsid w:val="3C657AAE"/>
    <w:rsid w:val="41A940B8"/>
    <w:rsid w:val="436F1BE6"/>
    <w:rsid w:val="4B986A7E"/>
    <w:rsid w:val="4EE17931"/>
    <w:rsid w:val="4F3D00CC"/>
    <w:rsid w:val="51926437"/>
    <w:rsid w:val="5AA537E4"/>
    <w:rsid w:val="5C6C760E"/>
    <w:rsid w:val="5F062D7E"/>
    <w:rsid w:val="69697443"/>
    <w:rsid w:val="6E401E57"/>
    <w:rsid w:val="6F034337"/>
    <w:rsid w:val="724B5ACE"/>
    <w:rsid w:val="79D504F5"/>
    <w:rsid w:val="7D1728B4"/>
    <w:rsid w:val="7D6352E3"/>
    <w:rsid w:val="7ECF4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autoSpaceDE w:val="0"/>
      <w:autoSpaceDN w:val="0"/>
      <w:adjustRightInd w:val="0"/>
      <w:jc w:val="center"/>
      <w:outlineLvl w:val="0"/>
    </w:pPr>
    <w:rPr>
      <w:rFonts w:cs="宋体"/>
      <w:kern w:val="0"/>
      <w:sz w:val="44"/>
      <w:szCs w:val="44"/>
      <w:lang w:val="zh-CN"/>
    </w:rPr>
  </w:style>
  <w:style w:type="paragraph" w:styleId="3">
    <w:name w:val="heading 3"/>
    <w:basedOn w:val="1"/>
    <w:next w:val="1"/>
    <w:link w:val="10"/>
    <w:autoRedefine/>
    <w:qFormat/>
    <w:uiPriority w:val="0"/>
    <w:pPr>
      <w:spacing w:before="100" w:beforeAutospacing="1" w:after="100" w:afterAutospacing="1"/>
      <w:outlineLvl w:val="2"/>
    </w:pPr>
    <w:rPr>
      <w:rFonts w:hint="eastAsia" w:cs="Times New Roman"/>
      <w:b/>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autoRedefine/>
    <w:qFormat/>
    <w:uiPriority w:val="0"/>
  </w:style>
  <w:style w:type="character" w:customStyle="1" w:styleId="10">
    <w:name w:val="标题 3 Char"/>
    <w:link w:val="3"/>
    <w:autoRedefine/>
    <w:qFormat/>
    <w:locked/>
    <w:uiPriority w:val="0"/>
    <w:rPr>
      <w:rFonts w:hint="eastAsia" w:cs="Times New Roman"/>
      <w:b/>
      <w:sz w:val="32"/>
      <w:szCs w:val="32"/>
    </w:rPr>
  </w:style>
  <w:style w:type="paragraph" w:styleId="11">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2020-03-26T01:56:00Z</dcterms:created>
  <dc:creator>VIS.LQ</dc:creator>
  <cp:lastModifiedBy>yb</cp:lastModifiedBy>
  <dcterms:modified xsi:type="dcterms:W3CDTF">2024-12-26T03:59:42Z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E268908D521D4A95BB474DBD58670E08_12</vt:lpwstr>
  </property>
</Properties>
</file>