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313" w:afterLines="100"/>
        <w:jc w:val="center"/>
        <w:textAlignment w:val="auto"/>
        <w:rPr>
          <w:rFonts w:hint="eastAsia"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预防接种异常反应</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调查诊断</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jc w:val="both"/>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高平市行政审批服务管理局发布</w:t>
      </w:r>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default" w:ascii="楷体" w:hAnsi="楷体" w:eastAsia="楷体" w:cs="楷体"/>
          <w:b/>
          <w:bCs/>
          <w:sz w:val="44"/>
          <w:szCs w:val="44"/>
          <w:lang w:val="en-US" w:eastAsia="zh-CN"/>
        </w:rPr>
      </w:pPr>
      <w:r>
        <w:rPr>
          <w:rFonts w:hint="eastAsia" w:ascii="楷体" w:hAnsi="楷体" w:eastAsia="楷体" w:cs="楷体"/>
          <w:b/>
          <w:bCs/>
          <w:sz w:val="44"/>
          <w:szCs w:val="44"/>
          <w:lang w:val="en-US" w:eastAsia="zh-CN"/>
        </w:rPr>
        <w:t>预防接种异常反应调查诊断办事指南</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309" w:firstLineChars="100"/>
        <w:textAlignment w:val="auto"/>
        <w:rPr>
          <w:rFonts w:hint="default" w:ascii="仿宋" w:hAnsi="仿宋" w:eastAsia="仿宋" w:cs="仿宋"/>
          <w:spacing w:val="-6"/>
          <w:sz w:val="32"/>
          <w:szCs w:val="32"/>
          <w:lang w:val="en-US"/>
        </w:rPr>
      </w:pPr>
      <w:r>
        <w:rPr>
          <w:rFonts w:hint="eastAsia" w:ascii="仿宋" w:hAnsi="仿宋" w:eastAsia="仿宋" w:cs="仿宋"/>
          <w:b/>
          <w:bCs/>
          <w:spacing w:val="-6"/>
          <w:sz w:val="32"/>
          <w:szCs w:val="32"/>
        </w:rPr>
        <w:t>事项类型：</w:t>
      </w:r>
      <w:r>
        <w:rPr>
          <w:rFonts w:hint="eastAsia" w:ascii="仿宋" w:hAnsi="仿宋" w:eastAsia="仿宋" w:cs="仿宋"/>
          <w:spacing w:val="-6"/>
          <w:sz w:val="32"/>
          <w:szCs w:val="32"/>
          <w:lang w:val="en-US" w:eastAsia="zh-CN"/>
        </w:rPr>
        <w:t>行政确认</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321" w:firstLineChars="100"/>
        <w:textAlignment w:val="auto"/>
        <w:rPr>
          <w:rFonts w:hint="eastAsia" w:ascii="仿宋" w:hAnsi="仿宋" w:eastAsia="仿宋" w:cs="仿宋"/>
          <w:b/>
          <w:bCs/>
          <w:sz w:val="32"/>
          <w:szCs w:val="32"/>
        </w:rPr>
      </w:pPr>
      <w:r>
        <w:rPr>
          <w:rFonts w:hint="eastAsia" w:ascii="仿宋" w:hAnsi="仿宋" w:eastAsia="仿宋" w:cs="仿宋"/>
          <w:b/>
          <w:bCs/>
          <w:sz w:val="32"/>
          <w:szCs w:val="32"/>
        </w:rPr>
        <w:t>禁止性规定：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textAlignment w:val="auto"/>
        <w:rPr>
          <w:rFonts w:ascii="仿宋" w:hAnsi="仿宋" w:eastAsia="仿宋" w:cs="仿宋"/>
          <w:sz w:val="32"/>
          <w:szCs w:val="32"/>
        </w:rPr>
      </w:pPr>
      <w:r>
        <w:rPr>
          <w:rFonts w:hint="eastAsia" w:ascii="仿宋" w:hAnsi="仿宋" w:eastAsia="仿宋" w:cs="仿宋"/>
          <w:sz w:val="32"/>
          <w:szCs w:val="32"/>
        </w:rPr>
        <w:t>1.不属于疑似预防接种异常反应报告范围的情形。</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ascii="仿宋" w:hAnsi="仿宋" w:eastAsia="仿宋" w:cs="仿宋"/>
          <w:sz w:val="32"/>
          <w:szCs w:val="32"/>
        </w:rPr>
      </w:pPr>
      <w:r>
        <w:rPr>
          <w:rFonts w:hint="eastAsia" w:ascii="仿宋" w:hAnsi="仿宋" w:eastAsia="仿宋" w:cs="仿宋"/>
          <w:sz w:val="32"/>
          <w:szCs w:val="32"/>
        </w:rPr>
        <w:t>2.明确诊断为一般反应的不作为调查对象。</w:t>
      </w:r>
    </w:p>
    <w:p>
      <w:pPr>
        <w:spacing w:line="600" w:lineRule="exact"/>
        <w:ind w:firstLine="321" w:firstLineChars="100"/>
        <w:rPr>
          <w:rFonts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适用范围：</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（1）疑似预防接种异常反应(</w:t>
      </w:r>
      <w:bookmarkStart w:id="0" w:name="_GoBack"/>
      <w:bookmarkEnd w:id="0"/>
      <w:r>
        <w:rPr>
          <w:rFonts w:hint="eastAsia" w:ascii="仿宋" w:hAnsi="仿宋" w:eastAsia="仿宋" w:cs="仿宋"/>
          <w:sz w:val="32"/>
          <w:szCs w:val="32"/>
        </w:rPr>
        <w:t>简称AEF1)是指在预防接种后发生的怀疑与预防接种有关的反应或事件。</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疑似预防接种异常反应报告范围按照发生时限分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为以下情形:</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 -24小时内:如过敏性休克、不伴休克的过敏反应(荨麻疹、班丘疹、喉头水肿等)、中毒性休克综合征、晕厥、癮症等。</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--5天内:如发热(腋温≥38.6C).血管性水肿、全身化脓性感染(毒血症、败血症，脓毒血症)、接种部位发生的红肿(直径&gt;2. 5cm).硬结(直径&gt;2.5cm)，局部化脓性感染(局部脓肿、淋巴管炎和淋巴结炎，蜂窝组织炎)等。</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--15天内:如麻疹样或猩红热样皮疹、过敏性紫癜、局部过敏坏死反应(Arthus反应)、热性惊厥、癫痫、多发性神经炎、脑病、脑炎和脑膜炎等。</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--6周内:如血小板减少性紫癜、格林巴利综合征、疫苗相关麻痹型脊髓灰质炎等。</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---3个月内:如臂丛神经炎，接种部位发生的无菌性脓肿等。</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--接种卡介苗后1-12个月:如淋巴结炎或淋巴管炎、骨髓炎，全身播散性卡介苗感染等。</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-一其他:怀疑与预防接种有关的其他严重疑似预防接种异常反应</w:t>
      </w:r>
    </w:p>
    <w:p>
      <w:pPr>
        <w:numPr>
          <w:ilvl w:val="0"/>
          <w:numId w:val="2"/>
        </w:num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除明确诊断为一般反应（如单纯发热、接种部位的红肿、硬结等）外的疑似预防接种异常反应均需调查。</w:t>
      </w:r>
    </w:p>
    <w:p>
      <w:pPr>
        <w:numPr>
          <w:ilvl w:val="0"/>
          <w:numId w:val="0"/>
        </w:numPr>
        <w:spacing w:line="600" w:lineRule="exact"/>
        <w:ind w:leftChars="100" w:firstLine="321" w:firstLineChars="100"/>
        <w:rPr>
          <w:rFonts w:hint="eastAsia" w:ascii="仿宋" w:hAnsi="仿宋" w:eastAsia="仿宋" w:cs="仿宋"/>
          <w:b/>
          <w:bCs/>
          <w:sz w:val="32"/>
          <w:szCs w:val="32"/>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设立依据：</w:t>
      </w:r>
    </w:p>
    <w:p>
      <w:pPr>
        <w:spacing w:line="600" w:lineRule="exact"/>
        <w:ind w:left="565" w:leftChars="269" w:firstLine="60" w:firstLineChars="19"/>
        <w:rPr>
          <w:rFonts w:hint="eastAsia" w:ascii="仿宋" w:hAnsi="仿宋" w:eastAsia="仿宋" w:cs="仿宋"/>
          <w:sz w:val="32"/>
          <w:szCs w:val="32"/>
        </w:rPr>
      </w:pPr>
      <w:r>
        <w:rPr>
          <w:rFonts w:hint="eastAsia" w:ascii="仿宋" w:hAnsi="仿宋" w:eastAsia="仿宋" w:cs="仿宋"/>
          <w:sz w:val="32"/>
          <w:szCs w:val="32"/>
        </w:rPr>
        <w:t>（1）《全国疑似预防接种异常反应监测方案》</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）《预防接种异常反应鉴定办法》第三章第十条至十四条。</w:t>
      </w:r>
    </w:p>
    <w:p>
      <w:pPr>
        <w:spacing w:line="600" w:lineRule="exact"/>
        <w:ind w:left="707" w:leftChars="270" w:hanging="140" w:hangingChars="44"/>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）《突发公共卫生事件应急条例》</w:t>
      </w:r>
    </w:p>
    <w:p>
      <w:pPr>
        <w:spacing w:line="600" w:lineRule="exact"/>
        <w:ind w:left="424" w:leftChars="202"/>
        <w:rPr>
          <w:rFonts w:ascii="仿宋" w:hAnsi="仿宋" w:eastAsia="仿宋" w:cs="仿宋"/>
          <w:b/>
          <w:bCs/>
          <w:sz w:val="32"/>
          <w:szCs w:val="32"/>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办理条件：</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辖区内所有受种者或其监护人。           </w:t>
      </w:r>
    </w:p>
    <w:p>
      <w:pPr>
        <w:numPr>
          <w:ilvl w:val="0"/>
          <w:numId w:val="0"/>
        </w:numPr>
        <w:spacing w:line="600" w:lineRule="exact"/>
        <w:ind w:firstLine="321" w:firstLineChars="100"/>
        <w:rPr>
          <w:rFonts w:hint="eastAsia" w:ascii="仿宋" w:hAnsi="仿宋" w:eastAsia="仿宋" w:cs="仿宋"/>
          <w:b/>
          <w:bCs/>
          <w:sz w:val="32"/>
          <w:szCs w:val="32"/>
        </w:rPr>
      </w:pPr>
      <w:r>
        <w:rPr>
          <w:rFonts w:hint="eastAsia" w:ascii="仿宋" w:hAnsi="仿宋" w:eastAsia="仿宋" w:cs="仿宋"/>
          <w:b/>
          <w:bCs/>
          <w:sz w:val="32"/>
          <w:szCs w:val="32"/>
          <w:lang w:val="en-US" w:eastAsia="zh-CN"/>
        </w:rPr>
        <w:t>六、</w:t>
      </w:r>
      <w:r>
        <w:rPr>
          <w:rFonts w:hint="eastAsia" w:ascii="仿宋" w:hAnsi="仿宋" w:eastAsia="仿宋" w:cs="仿宋"/>
          <w:b/>
          <w:bCs/>
          <w:sz w:val="32"/>
          <w:szCs w:val="32"/>
        </w:rPr>
        <w:t>申办材料：</w:t>
      </w:r>
    </w:p>
    <w:p>
      <w:pPr>
        <w:numPr>
          <w:ilvl w:val="0"/>
          <w:numId w:val="0"/>
        </w:num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一</w:t>
      </w:r>
      <w:r>
        <w:rPr>
          <w:rFonts w:hint="eastAsia" w:ascii="仿宋" w:hAnsi="仿宋" w:eastAsia="仿宋" w:cs="仿宋"/>
          <w:sz w:val="32"/>
          <w:szCs w:val="32"/>
        </w:rPr>
        <w:t>)临床资料。了解病人的既往预防接种异常反应史、既往健康状况(如有无基础疾病等)、家族史、过敏史，掌握病人的主要症状和体征及有关的实验室检查结果、已采取的治疗措施和效果等资料。必要时对病人进行访视和临床检查。对于死因不明需要进行尸体解剖检查的病例，应当按照有关规定进行尸检。</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预防接种资料。疫苗进货渠道、供货单位的资质证明、疫苗购销记录;疫苗运输条件和过程、疫苗贮存条件和冰箱温度记录、疫苗送达基层接种单位前的贮存情况；疫苗的种类、生产企业、批号、出厂日期、有效期、来源(包括分发、供应或销售单位)、领取日期、同批次疫苗的感官性状；接种服务组织形式、接种现场情况、接种时间和地点、接种单位和接种人员的资质；接种实施情况、接种部位、途径，剂次和剂量、打开的疫苗何时用完;安全注射情况、注射器材的来源、注射操作是否规范;接种同批次疫苗其他人员的反应情况、当地相关疾病发病情况。</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lang w:val="en-US" w:eastAsia="zh-CN"/>
        </w:rPr>
        <w:t xml:space="preserve">七、 </w:t>
      </w:r>
      <w:r>
        <w:rPr>
          <w:rFonts w:hint="eastAsia" w:ascii="仿宋" w:hAnsi="仿宋" w:eastAsia="仿宋" w:cs="仿宋"/>
          <w:b/>
          <w:bCs/>
          <w:sz w:val="32"/>
          <w:szCs w:val="32"/>
        </w:rPr>
        <w:t>办理方式：</w:t>
      </w:r>
      <w:r>
        <w:rPr>
          <w:rFonts w:hint="eastAsia" w:ascii="仿宋" w:hAnsi="仿宋" w:eastAsia="仿宋" w:cs="仿宋"/>
          <w:sz w:val="32"/>
          <w:szCs w:val="32"/>
        </w:rPr>
        <w:t>现场办理</w:t>
      </w:r>
    </w:p>
    <w:p>
      <w:pPr>
        <w:spacing w:line="600" w:lineRule="exact"/>
        <w:ind w:firstLine="643" w:firstLineChars="200"/>
        <w:rPr>
          <w:rFonts w:hint="eastAsia" w:ascii="仿宋" w:hAnsi="仿宋" w:eastAsia="仿宋" w:cs="仿宋"/>
          <w:b w:val="0"/>
          <w:bCs w:val="0"/>
          <w:sz w:val="32"/>
          <w:szCs w:val="32"/>
        </w:rPr>
      </w:pPr>
      <w:r>
        <w:rPr>
          <w:rFonts w:hint="eastAsia" w:ascii="仿宋" w:hAnsi="仿宋" w:eastAsia="仿宋" w:cs="仿宋"/>
          <w:b/>
          <w:bCs/>
          <w:sz w:val="32"/>
          <w:szCs w:val="32"/>
          <w:lang w:val="en-US" w:eastAsia="zh-CN"/>
        </w:rPr>
        <w:t xml:space="preserve">八、 </w:t>
      </w:r>
      <w:r>
        <w:rPr>
          <w:rFonts w:hint="eastAsia" w:ascii="仿宋" w:hAnsi="仿宋" w:eastAsia="仿宋" w:cs="仿宋"/>
          <w:b/>
          <w:bCs/>
          <w:sz w:val="32"/>
          <w:szCs w:val="32"/>
        </w:rPr>
        <w:t>办理流程：</w:t>
      </w:r>
      <w:r>
        <w:rPr>
          <w:rFonts w:hint="eastAsia" w:ascii="仿宋" w:hAnsi="仿宋" w:eastAsia="仿宋" w:cs="仿宋"/>
          <w:b w:val="0"/>
          <w:bCs w:val="0"/>
          <w:sz w:val="32"/>
          <w:szCs w:val="32"/>
          <w:lang w:val="en-US" w:eastAsia="zh-CN"/>
        </w:rPr>
        <w:t>附后</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lang w:val="en-US" w:eastAsia="zh-CN"/>
        </w:rPr>
        <w:t xml:space="preserve">九、 </w:t>
      </w:r>
      <w:r>
        <w:rPr>
          <w:rFonts w:hint="eastAsia" w:ascii="仿宋" w:hAnsi="仿宋" w:eastAsia="仿宋" w:cs="仿宋"/>
          <w:b/>
          <w:bCs/>
          <w:sz w:val="32"/>
          <w:szCs w:val="32"/>
        </w:rPr>
        <w:t>办理时限：</w:t>
      </w:r>
      <w:r>
        <w:rPr>
          <w:rFonts w:hint="eastAsia" w:ascii="仿宋" w:hAnsi="仿宋" w:eastAsia="仿宋" w:cs="仿宋"/>
          <w:sz w:val="32"/>
          <w:szCs w:val="32"/>
        </w:rPr>
        <w:t>（1）县级疾病预防控制机构对需要调查的疑似预防接种异常反应，应当在接到报告后48小时内组织开展调查，收集相关资料， 并在调查开始后3日内初步完成疑似预防接种异常反应个案调查表(附表2)的填写.并通过全国预防接种信息管理系统进行网络直报。</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怀疑与预防接种有关的死亡、严重残疾、群体性疑似预防接种异常反应、对社会有重大影响的疑似预防接种异常反应，由市级或省级疾病预防控制机构在接到报告后立即组织预防接种异常反应调查诊断专家组进行调查，死亡、 严重残疾、群体性疑似预防接种异常反应、对社会有重大影响的疑似预防接种异常反应在调查后7日内完成初步调查报告。对于死亡或群体性疑似预防接种异常反应，同时还应当按照《突发公共事件应急条例》的有关规定进行调查。</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（3）疑似预防接种异常反应的调查诊断结论应当在调查结束后30天内尽早做出。</w:t>
      </w:r>
    </w:p>
    <w:p>
      <w:pPr>
        <w:spacing w:line="600" w:lineRule="exact"/>
        <w:ind w:firstLine="803" w:firstLineChars="250"/>
        <w:rPr>
          <w:rFonts w:hint="eastAsia" w:ascii="仿宋" w:hAnsi="仿宋" w:eastAsia="仿宋" w:cs="仿宋"/>
          <w:sz w:val="32"/>
          <w:szCs w:val="32"/>
        </w:rPr>
      </w:pPr>
      <w:r>
        <w:rPr>
          <w:rFonts w:hint="eastAsia" w:ascii="仿宋" w:hAnsi="仿宋" w:eastAsia="仿宋" w:cs="仿宋"/>
          <w:b/>
          <w:bCs/>
          <w:sz w:val="32"/>
          <w:szCs w:val="32"/>
          <w:lang w:val="en-US" w:eastAsia="zh-CN"/>
        </w:rPr>
        <w:t xml:space="preserve">十、  </w:t>
      </w:r>
      <w:r>
        <w:rPr>
          <w:rFonts w:hint="eastAsia" w:ascii="仿宋" w:hAnsi="仿宋" w:eastAsia="仿宋" w:cs="仿宋"/>
          <w:b/>
          <w:bCs/>
          <w:sz w:val="32"/>
          <w:szCs w:val="32"/>
        </w:rPr>
        <w:t>收费依据及标准：</w:t>
      </w:r>
      <w:r>
        <w:rPr>
          <w:rFonts w:hint="eastAsia" w:ascii="仿宋" w:hAnsi="仿宋" w:eastAsia="仿宋" w:cs="仿宋"/>
          <w:sz w:val="32"/>
          <w:szCs w:val="32"/>
        </w:rPr>
        <w:t>不收费</w:t>
      </w:r>
    </w:p>
    <w:p>
      <w:pPr>
        <w:spacing w:line="600" w:lineRule="exact"/>
        <w:ind w:firstLine="803" w:firstLineChars="250"/>
        <w:rPr>
          <w:rFonts w:hint="eastAsia" w:ascii="仿宋" w:hAnsi="仿宋" w:eastAsia="仿宋" w:cs="仿宋"/>
          <w:sz w:val="32"/>
          <w:szCs w:val="32"/>
        </w:rPr>
      </w:pPr>
      <w:r>
        <w:rPr>
          <w:rFonts w:hint="eastAsia" w:ascii="仿宋" w:hAnsi="仿宋" w:eastAsia="仿宋" w:cs="仿宋"/>
          <w:b/>
          <w:bCs/>
          <w:sz w:val="32"/>
          <w:szCs w:val="32"/>
          <w:lang w:val="en-US" w:eastAsia="zh-CN"/>
        </w:rPr>
        <w:t>十一、</w:t>
      </w:r>
      <w:r>
        <w:rPr>
          <w:rFonts w:hint="eastAsia" w:ascii="仿宋" w:hAnsi="仿宋" w:eastAsia="仿宋" w:cs="仿宋"/>
          <w:b/>
          <w:bCs/>
          <w:sz w:val="32"/>
          <w:szCs w:val="32"/>
        </w:rPr>
        <w:t>结果送达：</w:t>
      </w:r>
      <w:r>
        <w:rPr>
          <w:rFonts w:hint="eastAsia" w:ascii="仿宋" w:hAnsi="仿宋" w:eastAsia="仿宋" w:cs="仿宋"/>
          <w:sz w:val="32"/>
          <w:szCs w:val="32"/>
        </w:rPr>
        <w:t>疑似预防接种异常反应调查诊断结论应当由县级卫生行政部门7日内送达受种者或其监护人手中。</w:t>
      </w:r>
    </w:p>
    <w:p>
      <w:pPr>
        <w:keepNext w:val="0"/>
        <w:keepLines w:val="0"/>
        <w:pageBreakBefore w:val="0"/>
        <w:widowControl w:val="0"/>
        <w:kinsoku/>
        <w:wordWrap/>
        <w:overflowPunct/>
        <w:topLinePunct w:val="0"/>
        <w:autoSpaceDE/>
        <w:autoSpaceDN/>
        <w:bidi w:val="0"/>
        <w:adjustRightInd/>
        <w:snapToGrid/>
        <w:spacing w:line="600" w:lineRule="exact"/>
        <w:ind w:firstLine="803" w:firstLineChars="250"/>
        <w:textAlignment w:val="auto"/>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十二、 </w:t>
      </w:r>
      <w:r>
        <w:rPr>
          <w:rFonts w:hint="eastAsia" w:ascii="仿宋" w:hAnsi="仿宋" w:eastAsia="仿宋" w:cs="仿宋"/>
          <w:b/>
          <w:bCs/>
          <w:sz w:val="32"/>
          <w:szCs w:val="32"/>
        </w:rPr>
        <w:t>咨询方式：</w:t>
      </w:r>
      <w:r>
        <w:rPr>
          <w:rFonts w:hint="eastAsia" w:ascii="仿宋" w:hAnsi="仿宋" w:eastAsia="仿宋" w:cs="仿宋"/>
          <w:b w:val="0"/>
          <w:bCs w:val="0"/>
          <w:sz w:val="32"/>
          <w:szCs w:val="32"/>
          <w:lang w:val="en-US" w:eastAsia="zh-CN"/>
        </w:rPr>
        <w:t>0356-5241124</w:t>
      </w:r>
    </w:p>
    <w:p>
      <w:pPr>
        <w:keepNext w:val="0"/>
        <w:keepLines w:val="0"/>
        <w:pageBreakBefore w:val="0"/>
        <w:widowControl w:val="0"/>
        <w:kinsoku/>
        <w:wordWrap/>
        <w:overflowPunct/>
        <w:topLinePunct w:val="0"/>
        <w:autoSpaceDE/>
        <w:autoSpaceDN/>
        <w:bidi w:val="0"/>
        <w:adjustRightInd/>
        <w:snapToGrid/>
        <w:spacing w:line="600" w:lineRule="exact"/>
        <w:ind w:firstLine="803" w:firstLineChars="250"/>
        <w:textAlignment w:val="auto"/>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十三、 </w:t>
      </w:r>
      <w:r>
        <w:rPr>
          <w:rFonts w:hint="eastAsia" w:ascii="仿宋" w:hAnsi="仿宋" w:eastAsia="仿宋" w:cs="仿宋"/>
          <w:b/>
          <w:bCs/>
          <w:sz w:val="32"/>
          <w:szCs w:val="32"/>
        </w:rPr>
        <w:t>监督投诉渠道：</w:t>
      </w:r>
      <w:r>
        <w:rPr>
          <w:rFonts w:hint="eastAsia" w:ascii="仿宋" w:hAnsi="仿宋" w:eastAsia="仿宋" w:cs="仿宋"/>
          <w:b w:val="0"/>
          <w:bCs w:val="0"/>
          <w:sz w:val="32"/>
          <w:szCs w:val="32"/>
          <w:lang w:val="en-US" w:eastAsia="zh-CN"/>
        </w:rPr>
        <w:t>0356-5224252</w:t>
      </w:r>
    </w:p>
    <w:p>
      <w:pPr>
        <w:keepNext w:val="0"/>
        <w:keepLines w:val="0"/>
        <w:pageBreakBefore w:val="0"/>
        <w:widowControl w:val="0"/>
        <w:kinsoku/>
        <w:wordWrap/>
        <w:overflowPunct/>
        <w:topLinePunct w:val="0"/>
        <w:autoSpaceDE/>
        <w:autoSpaceDN/>
        <w:bidi w:val="0"/>
        <w:adjustRightInd/>
        <w:snapToGrid/>
        <w:spacing w:line="600" w:lineRule="exact"/>
        <w:ind w:firstLine="803" w:firstLineChars="250"/>
        <w:textAlignment w:val="auto"/>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十四、 </w:t>
      </w:r>
      <w:r>
        <w:rPr>
          <w:rFonts w:hint="eastAsia" w:ascii="仿宋" w:hAnsi="仿宋" w:eastAsia="仿宋" w:cs="仿宋"/>
          <w:b/>
          <w:bCs/>
          <w:sz w:val="32"/>
          <w:szCs w:val="32"/>
        </w:rPr>
        <w:t>办理地址和时间：</w:t>
      </w:r>
      <w:r>
        <w:rPr>
          <w:rFonts w:hint="eastAsia" w:ascii="仿宋" w:hAnsi="仿宋" w:eastAsia="仿宋" w:cs="仿宋"/>
          <w:b w:val="0"/>
          <w:bCs w:val="0"/>
          <w:sz w:val="32"/>
          <w:szCs w:val="32"/>
          <w:lang w:val="en-US" w:eastAsia="zh-CN"/>
        </w:rPr>
        <w:t>高平市疾控中心</w:t>
      </w:r>
    </w:p>
    <w:p>
      <w:pPr>
        <w:spacing w:line="600" w:lineRule="exact"/>
        <w:ind w:firstLine="803" w:firstLineChars="250"/>
      </w:pPr>
      <w:r>
        <w:rPr>
          <w:rFonts w:hint="eastAsia" w:ascii="仿宋" w:hAnsi="仿宋" w:eastAsia="仿宋" w:cs="仿宋"/>
          <w:b/>
          <w:bCs/>
          <w:sz w:val="32"/>
          <w:szCs w:val="32"/>
          <w:lang w:val="en-US" w:eastAsia="zh-CN"/>
        </w:rPr>
        <w:t xml:space="preserve">十五、 </w:t>
      </w:r>
      <w:r>
        <w:rPr>
          <w:rFonts w:hint="eastAsia" w:ascii="仿宋" w:hAnsi="仿宋" w:eastAsia="仿宋" w:cs="仿宋"/>
          <w:b/>
          <w:bCs/>
          <w:sz w:val="32"/>
          <w:szCs w:val="32"/>
        </w:rPr>
        <w:t>办理进程和结果查询：</w:t>
      </w:r>
      <w:r>
        <w:rPr>
          <w:rFonts w:hint="eastAsia" w:ascii="仿宋" w:hAnsi="仿宋" w:eastAsia="仿宋" w:cs="仿宋"/>
          <w:sz w:val="32"/>
          <w:szCs w:val="32"/>
        </w:rPr>
        <w:t>7日内送达受种者或其监护人手中</w:t>
      </w:r>
      <w:r>
        <w:rPr>
          <w:rFonts w:hint="eastAsia" w:ascii="仿宋" w:hAnsi="仿宋" w:eastAsia="仿宋" w:cs="仿宋"/>
          <w:sz w:val="32"/>
          <w:szCs w:val="32"/>
          <w:lang w:eastAsia="zh-CN"/>
        </w:rPr>
        <w:t>。</w:t>
      </w:r>
    </w:p>
    <w:p>
      <w:pPr>
        <w:numPr>
          <w:ilvl w:val="0"/>
          <w:numId w:val="0"/>
        </w:numPr>
        <w:spacing w:line="600" w:lineRule="exact"/>
        <w:rPr>
          <w:rFonts w:hint="eastAsia" w:ascii="仿宋" w:hAnsi="仿宋" w:eastAsia="仿宋" w:cs="仿宋"/>
          <w:sz w:val="32"/>
          <w:szCs w:val="32"/>
        </w:rPr>
      </w:pPr>
    </w:p>
    <w:p>
      <w:pPr>
        <w:numPr>
          <w:ilvl w:val="0"/>
          <w:numId w:val="0"/>
        </w:numPr>
        <w:spacing w:line="600" w:lineRule="exact"/>
        <w:rPr>
          <w:rFonts w:hint="eastAsia" w:ascii="仿宋" w:hAnsi="仿宋" w:eastAsia="仿宋" w:cs="仿宋"/>
          <w:sz w:val="32"/>
          <w:szCs w:val="32"/>
        </w:rPr>
      </w:pPr>
    </w:p>
    <w:p>
      <w:pPr>
        <w:numPr>
          <w:ilvl w:val="0"/>
          <w:numId w:val="0"/>
        </w:numPr>
        <w:spacing w:line="600" w:lineRule="exact"/>
        <w:rPr>
          <w:rFonts w:hint="eastAsia" w:ascii="仿宋" w:hAnsi="仿宋" w:eastAsia="仿宋" w:cs="仿宋"/>
          <w:sz w:val="32"/>
          <w:szCs w:val="32"/>
        </w:rPr>
      </w:pPr>
    </w:p>
    <w:p>
      <w:pPr>
        <w:numPr>
          <w:ilvl w:val="0"/>
          <w:numId w:val="0"/>
        </w:numPr>
        <w:spacing w:line="600" w:lineRule="exact"/>
        <w:rPr>
          <w:rFonts w:hint="eastAsia" w:ascii="仿宋" w:hAnsi="仿宋" w:eastAsia="仿宋" w:cs="仿宋"/>
          <w:sz w:val="32"/>
          <w:szCs w:val="32"/>
        </w:rPr>
      </w:pPr>
    </w:p>
    <w:p>
      <w:pPr>
        <w:numPr>
          <w:ilvl w:val="0"/>
          <w:numId w:val="0"/>
        </w:numPr>
        <w:spacing w:line="600" w:lineRule="exact"/>
        <w:rPr>
          <w:rFonts w:hint="eastAsia" w:ascii="仿宋" w:hAnsi="仿宋" w:eastAsia="仿宋" w:cs="仿宋"/>
          <w:sz w:val="32"/>
          <w:szCs w:val="32"/>
        </w:rPr>
      </w:pPr>
    </w:p>
    <w:p>
      <w:pPr>
        <w:numPr>
          <w:ilvl w:val="0"/>
          <w:numId w:val="0"/>
        </w:numPr>
        <w:spacing w:line="600" w:lineRule="exact"/>
        <w:rPr>
          <w:rFonts w:hint="eastAsia" w:ascii="仿宋" w:hAnsi="仿宋" w:eastAsia="仿宋" w:cs="仿宋"/>
          <w:sz w:val="32"/>
          <w:szCs w:val="32"/>
        </w:rPr>
      </w:pPr>
    </w:p>
    <w:p>
      <w:pPr>
        <w:numPr>
          <w:ilvl w:val="0"/>
          <w:numId w:val="0"/>
        </w:numPr>
        <w:spacing w:line="600" w:lineRule="exact"/>
        <w:rPr>
          <w:rFonts w:hint="eastAsia" w:ascii="仿宋" w:hAnsi="仿宋" w:eastAsia="仿宋" w:cs="仿宋"/>
          <w:sz w:val="32"/>
          <w:szCs w:val="32"/>
        </w:rPr>
      </w:pPr>
    </w:p>
    <w:p>
      <w:pPr>
        <w:numPr>
          <w:ilvl w:val="0"/>
          <w:numId w:val="0"/>
        </w:numPr>
        <w:spacing w:line="600" w:lineRule="exact"/>
        <w:rPr>
          <w:rFonts w:hint="eastAsia" w:ascii="仿宋" w:hAnsi="仿宋" w:eastAsia="仿宋" w:cs="仿宋"/>
          <w:sz w:val="32"/>
          <w:szCs w:val="32"/>
        </w:rPr>
      </w:pPr>
    </w:p>
    <w:p>
      <w:pPr>
        <w:numPr>
          <w:ilvl w:val="0"/>
          <w:numId w:val="0"/>
        </w:numPr>
        <w:spacing w:line="600" w:lineRule="exact"/>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after="625" w:afterLines="200"/>
        <w:jc w:val="both"/>
        <w:textAlignment w:val="auto"/>
        <w:rPr>
          <w:rFonts w:hint="default" w:ascii="楷体" w:hAnsi="楷体" w:eastAsia="楷体" w:cs="楷体"/>
          <w:b/>
          <w:bCs/>
          <w:sz w:val="44"/>
          <w:szCs w:val="44"/>
          <w:lang w:val="en-US" w:eastAsia="zh-CN"/>
        </w:rPr>
      </w:pPr>
    </w:p>
    <w:p>
      <w:pPr>
        <w:jc w:val="center"/>
        <w:rPr>
          <w:rFonts w:ascii="黑体" w:hAnsi="宋体" w:eastAsia="黑体"/>
          <w:sz w:val="28"/>
          <w:szCs w:val="28"/>
        </w:rPr>
      </w:pPr>
      <w:r>
        <w:rPr>
          <w:rFonts w:ascii="黑体" w:hAnsi="宋体" w:eastAsia="黑体"/>
          <w:sz w:val="28"/>
          <w:szCs w:val="28"/>
        </w:rPr>
        <w:drawing>
          <wp:inline distT="0" distB="0" distL="0" distR="0">
            <wp:extent cx="4941570" cy="6400165"/>
            <wp:effectExtent l="0" t="0" r="11430" b="635"/>
            <wp:docPr id="2" name="图片 0" descr="856e2448e9b0eee50b8ec96cd0367f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descr="856e2448e9b0eee50b8ec96cd0367fd.jpg"/>
                    <pic:cNvPicPr>
                      <a:picLocks noChangeAspect="1"/>
                    </pic:cNvPicPr>
                  </pic:nvPicPr>
                  <pic:blipFill>
                    <a:blip r:embed="rId4" cstate="print"/>
                    <a:stretch>
                      <a:fillRect/>
                    </a:stretch>
                  </pic:blipFill>
                  <pic:spPr>
                    <a:xfrm>
                      <a:off x="0" y="0"/>
                      <a:ext cx="4941570" cy="6400165"/>
                    </a:xfrm>
                    <a:prstGeom prst="rect">
                      <a:avLst/>
                    </a:prstGeom>
                  </pic:spPr>
                </pic:pic>
              </a:graphicData>
            </a:graphic>
          </wp:inline>
        </w:drawing>
      </w:r>
    </w:p>
    <w:p>
      <w:pPr>
        <w:jc w:val="center"/>
        <w:rPr>
          <w:rFonts w:ascii="黑体" w:hAnsi="宋体" w:eastAsia="黑体"/>
          <w:sz w:val="28"/>
          <w:szCs w:val="28"/>
        </w:rPr>
      </w:pPr>
    </w:p>
    <w:p>
      <w:pPr>
        <w:jc w:val="center"/>
        <w:rPr>
          <w:rFonts w:ascii="黑体" w:hAnsi="宋体" w:eastAsia="黑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0B0D"/>
    <w:multiLevelType w:val="singleLevel"/>
    <w:tmpl w:val="195E0B0D"/>
    <w:lvl w:ilvl="0" w:tentative="0">
      <w:start w:val="1"/>
      <w:numFmt w:val="chineseCounting"/>
      <w:suff w:val="space"/>
      <w:lvlText w:val="%1、"/>
      <w:lvlJc w:val="left"/>
      <w:rPr>
        <w:rFonts w:hint="eastAsia"/>
      </w:rPr>
    </w:lvl>
  </w:abstractNum>
  <w:abstractNum w:abstractNumId="1">
    <w:nsid w:val="557AEF23"/>
    <w:multiLevelType w:val="singleLevel"/>
    <w:tmpl w:val="557AEF23"/>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EB5E2B"/>
    <w:rsid w:val="07FD12C4"/>
    <w:rsid w:val="13263F6A"/>
    <w:rsid w:val="2AE2087B"/>
    <w:rsid w:val="42EB5E2B"/>
    <w:rsid w:val="73241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2020-04-26T08:23:00Z</dcterms:created>
  <dc:creator>薆</dc:creator>
  <cp:lastModifiedBy>薆</cp:lastModifiedBy>
  <dcterms:modified xsi:type="dcterms:W3CDTF">2020-04-28T01:09:33Z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